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6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F0C2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泰州市海陵区优化营商环境行动方案</w:t>
      </w:r>
    </w:p>
    <w:p w14:paraId="78FC1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（2026版）</w:t>
      </w:r>
      <w:bookmarkStart w:id="3" w:name="_GoBack"/>
      <w:bookmarkEnd w:id="3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（征求意见稿）</w:t>
      </w:r>
    </w:p>
    <w:p w14:paraId="37880FA1">
      <w:pPr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21D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全面落实中央、省、市关于优化营商环境的决策部署，加快打造市场化、法治化、国际化一流营商环境，全力做优“到海陵、肯定行、一定赢”营商环境品牌，着力激发市场主体活力、提升服务质效、护航高质量发展，制定以下措施。</w:t>
      </w:r>
    </w:p>
    <w:p w14:paraId="1011D1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聚焦审批提速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提升政务服务效能</w:t>
      </w:r>
    </w:p>
    <w:p w14:paraId="21B43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深化“一件事”集成改革。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全生命周期集成、数字赋能为核心，通过流程再造、数据共享实现企业群众更高频率、更多领域、更大范围的“一件事”高效办理。纵深推进电子证照应用，200多类证照免提交，设立智慧政务“云综窗”，高频事项跨域通办，打造标准化、集成化、数智化政务服务体系。</w:t>
      </w:r>
    </w:p>
    <w:p w14:paraId="2CE62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2.提质社会组织准入服务。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转变服务理念，由“等候审批”转为“主动服务”，为重点领域社会组织提供注册全流程“一对一”辅导。推行银行汇款单替代验资报告，登记审批时限从60个工作日压缩至20个工作日内，无资产纠纷社会组织注销周期减半。</w:t>
      </w:r>
    </w:p>
    <w:p w14:paraId="5DDE9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提速办税便民服务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统筹优化办税服务“前台线下、中台线上、后台监控”全链条能力，设置潮汐窗口，确保线下平均等候时长不超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15分钟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，线上业务处理时长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30分钟，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保障征纳互动成功率不低于90%。</w:t>
      </w:r>
    </w:p>
    <w:p w14:paraId="2CB2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打造小额采购网上商城。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针对小额服务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及工程类采购痛点，上线网上商城平台，以降门槛、提效率、强监管为抓手，提供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公开比选、邀请比选和直选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三种交易方式，构建全流程标准化服务。</w:t>
      </w:r>
    </w:p>
    <w:p w14:paraId="7E099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5.优化涉绿项目审批效能。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针对电水气项目临时占用绿化用地审批，创新推行“容缺受理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承诺制审批”模式，落实“先办后补”机制，企业办理时间压减40%。</w:t>
      </w:r>
    </w:p>
    <w:p w14:paraId="4733A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聚焦项目攻坚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强化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发展支撑</w:t>
      </w:r>
    </w:p>
    <w:p w14:paraId="25A6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6.</w:t>
      </w:r>
      <w:bookmarkStart w:id="0" w:name="OLE_LINK2"/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强化项目要素保障。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项目前置要素审批协同机制，全程跟踪督导土地评审、建设许可、环评审批、能耗指标核定等关键环节，推动各审批部门简化流程、压缩时限、并联办理，同时为项目单位提供前置要素审批全流程指导服务，确保土地、环境、能耗等前置要素尽早批复到位，全力破解要素保障难题。</w:t>
      </w:r>
      <w:bookmarkEnd w:id="0"/>
      <w:bookmarkStart w:id="1" w:name="OLE_LINK1"/>
    </w:p>
    <w:p w14:paraId="3CFD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7.打造“12345”项目服务品牌。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托一个“审图专班”，推行“土地与建设”两条链平行审批，协同镇街（园区）、审批部门和建设单位三方共同发力，建立覆盖项目从备案到竣工验收四个阶段的全生命周期“一站式”服务大厅，主动帮办、全程催办，实现项目“五证齐发”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推动项目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“拿地即开工”。</w:t>
      </w:r>
      <w:bookmarkEnd w:id="1"/>
    </w:p>
    <w:p w14:paraId="4F44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企业增资扩产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深化实施区领导联系服务重点产业链工作机制，持续开展“海陵行”企业走访服务活动，完善企业诉求问题闭环处理机制。聚焦政策落地见效，通过线上推送、线下座谈、上门解读等多种形式，直达快享、精准滴灌。全年组织专家团队免费为企业开展智改数转、节能绿色诊断服务，组织开展专精特新、智能工厂、绿色工厂等专题申报辅导4次以上，加快培育优质标杆企业，以靶向服务激活发展动能。</w:t>
      </w:r>
    </w:p>
    <w:p w14:paraId="3D04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9.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成立重点项目审批专班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“批供建一体”改革，落实市以上重大项目用地计划“免申即享”，成立专班为重点项目开辟审批绿色通道，实现用地组卷报批“边组边审”。针对重要地块出让规划条件提前吸纳各方意见建议，以“预征求”制度提升规划方案的适配性与市场接受度。</w:t>
      </w:r>
    </w:p>
    <w:p w14:paraId="1543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.赋能金融精准支持。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广产融综合服务平台，开展银企对接及“金融服务实体经济”进海陵系列活动10次以上，实现融资需求精准匹配。鼓励银行创新金融产品，助力“新车智数”产业体系产业链强链补链延链，提速重点企业上市进程。</w:t>
      </w:r>
    </w:p>
    <w:p w14:paraId="37F9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11.培育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产业工人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聚焦海陵特色产业发展需求，深化产业工人“训赛创”培养机制，完善工匠人才培育体系，加大政策宣传与奖补力度，拓宽成长通道，为企业创新发展提供坚实技能人才保障。</w:t>
      </w:r>
    </w:p>
    <w:p w14:paraId="03E25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.开展“科技博士企业行”。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组织高校博士、专家团队深入企业一线不少于4次，开展技术问诊服务，搭建产学研合作交流平台，促进科技成果转化，为企业技术创新注入智力支撑。</w:t>
      </w:r>
    </w:p>
    <w:p w14:paraId="51CF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三、聚焦公平有序，规范市场运行机制</w:t>
      </w:r>
    </w:p>
    <w:p w14:paraId="40EC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13.加强公平竞争审查刚性约束。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贯彻落实《公平竞争审查条例》及其实施办法，严格对照审查标准，持续清理废除妨碍全国统一市场和公平竞争的政策措施，重点整治招标投标、政府采购等领域隐性壁垒，防止“内卷式”无序竞争，严禁违规给予特定经营者优惠政策，保障各类经营主体依法平等参与市场竞争。进一步强化监督保障，定期开展政策措施评估清理和交叉互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2EB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14.降低企业物流成本。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构建“公铁水空”立体物流网络，社会物流总费用与国内生产总值比率降至13%左右。高标准运营海陵港和泰州西货站，加快铁路物流园建设。开通泰州西至上海港、宁波港海铁联运班列，加强中欧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班列接续。加快石化铁路专线改造，贯通西北大宗商品通道。</w:t>
      </w:r>
    </w:p>
    <w:p w14:paraId="39F2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15.推动账款及时结算支付。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强化部门协同，落实资金保障，防范化解拖欠中小企业账款。规范政府事业单位、国有企业招投标程序，加强项目监管，防止新增拖欠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账款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。落实《保障中小企业款项支付条例》，保障中小企业合法权益。</w:t>
      </w:r>
    </w:p>
    <w:p w14:paraId="5F6C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16.深入实施知识产权强区战略。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高价值专利培育工作，指导、协助制定高价值专利培育规划，增强企业关键领域自主知识产权创造和储备，加强知识产权转化运用实效。鼓励和支持中小微企业开展知识产权质押融资业务，实现专利价值。对地理标志、商标使用进行规范化管理，打击商标侵权、假冒专利等行为，有效遏制辖区内知识产权侵权违法行为。</w:t>
      </w:r>
    </w:p>
    <w:p w14:paraId="63F1A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17.健全破产处置全链条。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深化府院联动，整合多部门力量优化“预重整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清算”流程。为有再生价值企业制定个性化重整计划，为无再生价值企业开通绿色通道，全年推动3家以上企业重整或和解、50家以上企业高效清算。</w:t>
      </w:r>
    </w:p>
    <w:p w14:paraId="256CA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聚焦规范审慎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创新监管执法方式</w:t>
      </w:r>
    </w:p>
    <w:p w14:paraId="6E4B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18.持续规范涉企行政执法。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推动“互联网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管”平台深度运用，强化检查计划备案、记录归集、线索流转数字化管理，深入推行“扫码入企”“综合查一次”，压减涉企检查频次30%以上。整治违规异地执法、趋利性执法以及乱收费、乱罚款、乱检查、乱查封等问题，巩固涉企行政执法专项行动成效。深化柔性执法理念，持续推行包容审慎监管，动态调整行政处罚“三张清单”，杜绝机械执法、小过重罚等问题。完善“执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服务”模式，健全“事前指导、全程记录、事后服务”闭环机制。</w:t>
      </w:r>
    </w:p>
    <w:p w14:paraId="43E4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19.筑牢“涉企执法”监督防线。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将优化法治化营商环境纳入执法监督重点，对涉企案件办理、政策落实等开展专项检查，常态化组织案件评查，每年专项检查不少于2次、评查案件不少于50件，保障企业合法权益。</w:t>
      </w:r>
    </w:p>
    <w:p w14:paraId="30164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20.建立公共法律服务分中心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涉企公共法律服务供给，在东部市场群、高新园区等区域建立公共法律服务分中心，组织律师、公证员等专业法律服务团队，为企业提供政策解读、纠纷调解、法律风险防范等全链条服务，助力企业构建事前事中事后闭环式法律风险防控体系。</w:t>
      </w:r>
    </w:p>
    <w:p w14:paraId="11AB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OLE_LINK3"/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21.深度融合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安全监管与服务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</w:rPr>
        <w:t>构建“预警前置、体检先行、合规闭环”监管服务模式，依托信息化系统提前90日推送危化品许可证到期预警。执法前指导企业“预体检”，坚持处罚与教育结合，跟踪整改并发放合规意见书，实现闭环管理。</w:t>
      </w:r>
    </w:p>
    <w:p w14:paraId="0451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.联动线上线下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监督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线上归集整合多部门信息资源平台，构建招投标等多个重点领域监督模型，实现对潜在违规违法行为的智能化研判分析。线下持续开展“清风暖企”营商环境专项监督，定期回访“营商环境监测点”，优化开展“不满意事项回头看”“我陪群众（企业）走流程”等活动。</w:t>
      </w:r>
    </w:p>
    <w:p w14:paraId="4ECC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.创新执行与信用激励协同机制。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针对有履行意愿但暂遇经营困难的企业，协调签订执行和解协议，推行“分期履行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信用担保”模式。建立信用修复激励机制，为主动履约企业出具证明，协调恢复市场准入资格，助力30家以上企业恢复生产。</w:t>
      </w:r>
    </w:p>
    <w:p w14:paraId="7E2E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24.建立生态环境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监管正面清单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细化差异化监管工作内容，减少现场执法频次，原则上没有信访投诉，清单内企业不再进行执法检查，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最大程度减少对守法企业的干扰，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充分激发企业守法经营积极性，提升环境监管质效。</w:t>
      </w:r>
    </w:p>
    <w:p w14:paraId="3C7BF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25.打通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失信企业信用修复绿色通道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加强失信企业数据分析，通过“企信通”点对点发送修复提醒，实行全程电子化办理和“网上办、零跑腿”服务。设立专人咨询岗提供合规指导，将修复时限缩短至3个工作日内，年度服务企业不少于200家。</w:t>
      </w:r>
    </w:p>
    <w:p w14:paraId="46A5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五、聚焦服务升级，优化全域发展生态</w:t>
      </w:r>
    </w:p>
    <w:p w14:paraId="603F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26.提升创新创业服务能级。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构建“理论+实践”全链条培训体系，开设政策解读、团队管理等核心课程，推动青商会企业家与高校商学院结对共建。优先推荐青年企业家参与“蜂鸟青年创客”“创青春”等各类创新创业赛事，组织赴先进地区学习交流，优化创新创业生态。</w:t>
      </w:r>
    </w:p>
    <w:p w14:paraId="56C83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27.“文旅警务”护航旅游经济。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打造“凤城美警”旅游服务前哨，坚持“公安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旅游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服务”多元融合，推动多部门联勤联动，共同强化纠纷调解、巡逻守护、紧急救助、审批服务、法制宣传等工作，实现景区治安防控、矛盾化解、服务保障一体化，全面提升游客体验感与满意度。</w:t>
      </w:r>
    </w:p>
    <w:p w14:paraId="5C5A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28.构建亲清政企关系。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用好民企诉求直报、政企沟通座谈会、送法进民企、界别协商议事平台等机制，发挥好民营企业调查点、民营企业劳动关系监测点作用，听取民营企业意见建议，推动解决企业反映强烈的问题。</w:t>
      </w:r>
    </w:p>
    <w:p w14:paraId="0376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29.打造近悦远来人才生态。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加大人才招引力度，举办“泰州日”等招才引智活动，优化青年和人才服务联盟，高品质运营青年和人才一站式服务中心，完善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覆盖“创新创业全周期、职业发展全阶段、生活需求全方位”的服务生态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体系。深化才企直通车，开展进企走访、座谈沙龙、项目路演等活动。</w:t>
      </w:r>
    </w:p>
    <w:p w14:paraId="2A90F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30.规范行业协会商会发展。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压实业务主管单位，行业管理部门党建责任，构建齐抓共管工作格局。开展行业协会商会换届乱象整治，评比表彰清理规范专项行动，严格执行负责人联合审核，综合监管，分类管理制度，坚持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培育一批，提升一批，清理一批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，优化布局，推动健康有序发展。</w:t>
      </w:r>
    </w:p>
    <w:p w14:paraId="7F8AF70E"/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14A0F"/>
    <w:multiLevelType w:val="singleLevel"/>
    <w:tmpl w:val="5D414A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042EB"/>
    <w:rsid w:val="26F72AF0"/>
    <w:rsid w:val="366042EB"/>
    <w:rsid w:val="44155174"/>
    <w:rsid w:val="55401A00"/>
    <w:rsid w:val="65D95B2B"/>
    <w:rsid w:val="7C4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</Pages>
  <Words>3777</Words>
  <Characters>3862</Characters>
  <Lines>0</Lines>
  <Paragraphs>0</Paragraphs>
  <TotalTime>2</TotalTime>
  <ScaleCrop>false</ScaleCrop>
  <LinksUpToDate>false</LinksUpToDate>
  <CharactersWithSpaces>3862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2026-05-08T01:44:00Z</dcterms:created>
  <dc:creator>yg</dc:creator>
  <cp:lastModifiedBy>如月之恒</cp:lastModifiedBy>
  <dcterms:modified xsi:type="dcterms:W3CDTF">2026-05-08T02:19:31Z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1C8346645BF649EF86F47B842B33A1B7_11</vt:lpwstr>
  </property>
  <property fmtid="{D5CDD505-2E9C-101B-9397-08002B2CF9AE}" pid="4" name="KSOTemplateDocerSaveRecord">
    <vt:lpwstr>eyJoZGlkIjoiZWI5MDVjMWZlZWI3NDE3YWVjN2IxNjFmZjMyYTA3OTMiLCJ1c2VySWQiOiIyNDcwMDkxNDIifQ==</vt:lpwstr>
  </property>
</Properties>
</file>