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04C7D">
      <w:pPr>
        <w:spacing w:line="560" w:lineRule="exact"/>
        <w:ind w:firstLine="0" w:firstLineChars="0"/>
        <w:jc w:val="center"/>
        <w:rPr>
          <w:rFonts w:eastAsia="方正小标宋简体" w:cs="Times New Roman"/>
          <w:color w:val="000000" w:themeColor="text1"/>
          <w14:textFill>
            <w14:solidFill>
              <w14:schemeClr w14:val="tx1"/>
            </w14:solidFill>
          </w14:textFill>
        </w:rPr>
      </w:pPr>
      <w:bookmarkStart w:id="0" w:name="_GoBack"/>
      <w:bookmarkEnd w:id="0"/>
    </w:p>
    <w:p w14:paraId="44A83C4B">
      <w:pPr>
        <w:spacing w:line="560" w:lineRule="exact"/>
        <w:ind w:firstLine="0" w:firstLineChars="0"/>
        <w:jc w:val="center"/>
        <w:rPr>
          <w:rFonts w:eastAsia="方正小标宋简体" w:cs="Times New Roman"/>
          <w:color w:val="000000" w:themeColor="text1"/>
          <w14:textFill>
            <w14:solidFill>
              <w14:schemeClr w14:val="tx1"/>
            </w14:solidFill>
          </w14:textFill>
        </w:rPr>
      </w:pPr>
      <w:r>
        <w:rPr>
          <w:rFonts w:eastAsia="方正小标宋简体" w:cs="Times New Roman"/>
          <w:color w:val="000000" w:themeColor="text1"/>
          <w14:textFill>
            <w14:solidFill>
              <w14:schemeClr w14:val="tx1"/>
            </w14:solidFill>
          </w14:textFill>
        </w:rPr>
        <w:t>海陵区“十五五”教育事业发展规划</w:t>
      </w:r>
    </w:p>
    <w:p w14:paraId="0EA06B6B">
      <w:pPr>
        <w:spacing w:line="560" w:lineRule="exact"/>
        <w:ind w:firstLine="0" w:firstLineChars="0"/>
        <w:jc w:val="center"/>
        <w:rPr>
          <w:rFonts w:eastAsia="方正楷体_GBK" w:cs="Times New Roman"/>
          <w:color w:val="000000" w:themeColor="text1"/>
          <w:sz w:val="32"/>
          <w:szCs w:val="32"/>
          <w14:textFill>
            <w14:solidFill>
              <w14:schemeClr w14:val="tx1"/>
            </w14:solidFill>
          </w14:textFill>
        </w:rPr>
      </w:pPr>
    </w:p>
    <w:p w14:paraId="19BD335F">
      <w:pPr>
        <w:spacing w:line="560" w:lineRule="exact"/>
        <w:ind w:firstLine="0" w:firstLineChars="0"/>
        <w:jc w:val="center"/>
        <w:rPr>
          <w:rFonts w:eastAsia="方正楷体_GBK" w:cs="Times New Roman"/>
          <w:color w:val="000000" w:themeColor="text1"/>
          <w:sz w:val="32"/>
          <w:szCs w:val="32"/>
          <w14:textFill>
            <w14:solidFill>
              <w14:schemeClr w14:val="tx1"/>
            </w14:solidFill>
          </w14:textFill>
        </w:rPr>
      </w:pPr>
      <w:r>
        <w:rPr>
          <w:rFonts w:eastAsia="方正楷体_GBK" w:cs="Times New Roman"/>
          <w:color w:val="000000" w:themeColor="text1"/>
          <w:sz w:val="32"/>
          <w:szCs w:val="32"/>
          <w14:textFill>
            <w14:solidFill>
              <w14:schemeClr w14:val="tx1"/>
            </w14:solidFill>
          </w14:textFill>
        </w:rPr>
        <w:t>（征求意见稿）</w:t>
      </w:r>
    </w:p>
    <w:p w14:paraId="54AB8A4F">
      <w:pPr>
        <w:spacing w:line="560" w:lineRule="exact"/>
        <w:ind w:firstLine="0" w:firstLineChars="0"/>
        <w:rPr>
          <w:rFonts w:cs="Times New Roman"/>
          <w:color w:val="000000" w:themeColor="text1"/>
          <w:sz w:val="32"/>
          <w:szCs w:val="32"/>
          <w14:textFill>
            <w14:solidFill>
              <w14:schemeClr w14:val="tx1"/>
            </w14:solidFill>
          </w14:textFill>
        </w:rPr>
      </w:pPr>
    </w:p>
    <w:p w14:paraId="44D63C2B">
      <w:pPr>
        <w:spacing w:line="560" w:lineRule="exact"/>
        <w:ind w:firstLine="645" w:firstLineChars="0"/>
        <w:rPr>
          <w:rFonts w:eastAsia="方正黑体_GBK" w:cs="Times New Roman"/>
          <w:color w:val="000000" w:themeColor="text1"/>
          <w:sz w:val="32"/>
          <w:szCs w:val="32"/>
          <w14:textFill>
            <w14:solidFill>
              <w14:schemeClr w14:val="tx1"/>
            </w14:solidFill>
          </w14:textFill>
        </w:rPr>
      </w:pPr>
      <w:r>
        <w:rPr>
          <w:rFonts w:eastAsia="方正黑体_GBK" w:cs="Times New Roman"/>
          <w:color w:val="000000" w:themeColor="text1"/>
          <w:sz w:val="32"/>
          <w:szCs w:val="32"/>
          <w14:textFill>
            <w14:solidFill>
              <w14:schemeClr w14:val="tx1"/>
            </w14:solidFill>
          </w14:textFill>
        </w:rPr>
        <w:t>一、发展基础</w:t>
      </w:r>
    </w:p>
    <w:p w14:paraId="5C4BF0DA">
      <w:pPr>
        <w:spacing w:line="560" w:lineRule="exact"/>
        <w:ind w:firstLine="645" w:firstLineChars="0"/>
        <w:rPr>
          <w:rFonts w:eastAsia="方正楷体_GBK" w:cs="Times New Roman"/>
          <w:color w:val="000000" w:themeColor="text1"/>
          <w:sz w:val="32"/>
          <w:szCs w:val="32"/>
          <w14:textFill>
            <w14:solidFill>
              <w14:schemeClr w14:val="tx1"/>
            </w14:solidFill>
          </w14:textFill>
        </w:rPr>
      </w:pPr>
      <w:r>
        <w:rPr>
          <w:rFonts w:eastAsia="方正楷体_GBK" w:cs="Times New Roman"/>
          <w:color w:val="000000" w:themeColor="text1"/>
          <w:sz w:val="32"/>
          <w:szCs w:val="32"/>
          <w14:textFill>
            <w14:solidFill>
              <w14:schemeClr w14:val="tx1"/>
            </w14:solidFill>
          </w14:textFill>
        </w:rPr>
        <w:t>（一）“十四五”期间教育发展的主要成绩</w:t>
      </w:r>
    </w:p>
    <w:p w14:paraId="4550C49F">
      <w:pPr>
        <w:spacing w:line="560" w:lineRule="exact"/>
        <w:ind w:firstLine="645" w:firstLineChars="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十四五”期间，区委区政府始终坚持教育优先优质发展，紧紧围绕“办好人民满意的教育”目标，全面落实立德树人根本任务，连续四年召开全区幸福教育大会，统筹谋划、系统推进幸福教育改革，“1+8+N”教育改革、高质量发展20条、名师工程、“崇教优师”六条等一系列举措相继实施，教育投入持续增长，队伍建设成果丰硕，优质资源供给更加充分，教育教学质量稳步提升，人民群众的教育获得感幸福感显著增强，海陵教育迈入高质量发展新阶段：创成国家级义务教育优质均衡发展区和国家级学前教育普及普惠区。全区教育教学质量显著提升，中考录取省泰中初中学校首次突破10所，二附中中考成绩连续五年画出“上扬曲线”，省泰中录取人数、高分段人数持续突破。二附中启航路校区与南师大泰州实验学校新校区正式启用，实现优质教育资源成功嫁接，城东、城北地区优质教育资源覆盖面持续扩大。教育科研工作再创佳绩，“以学段衔接为抓手推动语文教学质量提升”经验做法全省唯一入选教育部首批十大“双减”案例，并向全国推广。科技教育特色更“特”，城东小学继泰州二附中之后，再次实现泰州市青少年科技创新市长奖“大满贯”。公办园覆盖率创新高，超过省标达70%。省委2024年第11期《改革参考》专题刊登我区幸福教育改革经验；“幸福教育”生动样板先后被《新华日报》和《江苏教育报》头版或专版推介。</w:t>
      </w:r>
    </w:p>
    <w:p w14:paraId="4F61E06D">
      <w:pPr>
        <w:spacing w:line="560" w:lineRule="exact"/>
        <w:ind w:firstLine="0" w:firstLineChars="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 xml:space="preserve">    1.教育投入逐年递增。严格落实教育经费“两个只增不减”要求，确保财政优先向教育倾斜。2021、2022、2023、2024年教育经费投入分别为 8.73亿、8.94亿、9.65亿、10.34亿，占全区一般公共预算支出15.26%、14.61%、14.03%、18.42%，较上一年分别增长19.4%、2.5%、7.9%、7.2%。“十四五”期间，预计教育投入累计达48亿元，累计安排3786.05万元用于普惠园生均公用经费和专项补助经费。从2021年起，安排教师奖励性补贴经费6000万元/年，安排教师课后服务费用2800万元/年，安排班主任补助700万元/年，安排教师交通补贴1350万元/年，安排学生营养餐补贴740万元/年。</w:t>
      </w:r>
    </w:p>
    <w:p w14:paraId="322984BA">
      <w:pPr>
        <w:spacing w:line="560" w:lineRule="exact"/>
        <w:ind w:firstLine="64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2.基础建设步伐加快。一是城乡学校布局不断优化。加强生源动态变化监测和学龄人口预测研判，积极会同市教育局编制《泰州城区中小学（幼儿园）布局和建设规划（2021-2025 年）》，确保中小学规划布局与中心城区发展、人口聚集度相适应，兼顾“城乡一体化”，统筹做好中小学均衡布局和优化整合工作。二是学校项目建设步伐加快。“十四五”期间，新（改、扩）建25所中小学（幼儿园），累计投入资金23亿元，新增建筑面积36万平方米，新增学位16200个。其中，二附中启航路校区、南京师范大学泰州实验学校（学前部、小学部）、城东小学春晖校区、济川校区、二附中东风路校区改扩建工程、迎春幼儿园、润泰幼儿园等学校项目相继建成投入使用。三是城乡办学条件持续改善。深入推进义务教育学校标准化建设，不断改善办学条件，努力缩小城乡校际差距。“十四五”期间，累计安排资金5500万元用于学校维修工程和教育教学设备购置。安排专项资金300万元，完成全区所有中小学教室照明改造；安排专项资金230万元，对中小学机房、实验室等进行改造升级；投入近2000万元，完成校园智慧技防升级改造；中小学教室空调改造五年计划四年完成，累计安排资金654万元，实现全区学校教室空调全覆盖。全区所有学校均超过《省义务教育学校标准化监测标准》，中小学100%创成省、市级智慧校园，实验小学创成省示范型智慧校园。</w:t>
      </w:r>
    </w:p>
    <w:p w14:paraId="7A9A287C">
      <w:pPr>
        <w:spacing w:line="560" w:lineRule="exact"/>
        <w:ind w:firstLine="64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3.育人工作亮点纷呈。一是德育工作成效显著。注重人文建设，强化内涵提升，凝练学校文化，推动以文化人。“一校一品”打造德育工作品牌，广泛开展“学四史”“以青春的名义宣誓”“牢记价值观 点亮中国梦”“传承红色基因 争做强国少年”等主题教育实践活动，形成“教师妈妈”“三进工作”“绿叶先锋”“文明护照”“伍成教育”等一批较有影响的德育工作品牌。二是五育并举扎实落地。积极推进“双减”背景下育人方式转型改革实验区建设，聚焦核心素养，注重全面发展，开发传统文化、经典诵读、地方民俗、珠心算等校本课程，形成“乐学”“美好”“青松”“尚美”等一批各具学校特色的校本课程体系。一大批海陵学子在全国、省市体艺、科技竞赛中屡屡斩获大奖，综合实力位居全市前列。在泰州市中小学生艺术单项赛中，我区一等奖人数连续多年位居全市第一。三是教育科研成果丰硕。发挥教科研在提升教学质量中的关键性作用，深化学科中心组和学科基地建设，完善“区-片区-校”研训机制，探索轻负优质教学模式，组织编写区域基础教案和区域学案。修订《海陵区中小学教学规程》，常态化开展教学视导工作，健全学业质量跟踪监测机制，积极推动基于数据的试卷讲评课改革和教学质量分析。《以思维导图为学习支架的小学英语教学实践研究》等4项成果荣获国家基础教育教学成果二等奖和江苏省基础教育教学成果一、二等奖；《初中数学活动课的教学策略研究》项目入选江苏省基础教育前瞻性教学改革试验项目优秀项目；在江苏省基础教育课程教学改革展示活动中，作为学前教育主场向全省展示，《学段融通 一体培养 打造素养导向下学段衔接的“海陵样本”》作现场交流；实验小学获评江苏省“双减”示范创建校；全区实现义务教育整体质量稳步提升。四是拔尖人才创新培养。积极探索基础教育为高等教育培养输送拔尖人才的有效途径，组建区级科技教育共同体，打造科教课程体系或课程群，初步形成“小初贯通+校内外融通”的区域科技教育特色。二附中连续八年跻身全国青少年信息学奥林匹克联赛全省前五强，被中国计算机学会表彰为“优秀组织学校”，学校包揽了2023 年省泰中信息技术类特长生全部名额。“十四五”期间，实验小学、苏陈实小、少年宫等10所学校在省、市“金钥匙”等科技竞赛中获团体或个人特、一等奖；海光小学连续夺得2023年世界机器人大赛总决赛及全国、江苏省信息素养提升实践活动人工智能（优创未来）竞赛一等奖；二附中、城东小学实现泰州市青少年科技创新市长奖“大满贯”。科技教育已成为我区义务教育的靓丽风景。五是集团化办学提质增效。</w:t>
      </w:r>
      <w:r>
        <w:rPr>
          <w:rFonts w:cs="Times New Roman"/>
          <w:color w:val="000000" w:themeColor="text1"/>
          <w:kern w:val="0"/>
          <w:sz w:val="32"/>
          <w:szCs w:val="32"/>
          <w14:textFill>
            <w14:solidFill>
              <w14:schemeClr w14:val="tx1"/>
            </w14:solidFill>
          </w14:textFill>
        </w:rPr>
        <w:t>将扬桥中心小学、运河路小学纳入大浦中心小学教育集团（紧密型），新成立华港教育集团，</w:t>
      </w:r>
      <w:r>
        <w:rPr>
          <w:rFonts w:cs="Times New Roman"/>
          <w:color w:val="000000" w:themeColor="text1"/>
          <w:sz w:val="32"/>
          <w:szCs w:val="32"/>
          <w14:textFill>
            <w14:solidFill>
              <w14:schemeClr w14:val="tx1"/>
            </w14:solidFill>
          </w14:textFill>
        </w:rPr>
        <w:t>明确首批8所紧密型教育集团核心校和4所联盟型教育集团牵头校，开展集团化办学“五大行动”，增强学校“造血”与“重塑”的能力。全区参与紧密型集团化办学的中小学、幼儿园占比达80%，新建中小学幼儿园100%参与集团化办学。</w:t>
      </w:r>
    </w:p>
    <w:p w14:paraId="08D30558">
      <w:pPr>
        <w:spacing w:line="560" w:lineRule="exact"/>
        <w:ind w:firstLine="64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4.队伍建设硕果累累。一是师德师风建设贯穿始终。持续开展党员教师“戴党徽、亮身份、树形象”活动，组织师德模范巡回演讲报告会，定期评选“胡瑗名师”、新时代“四有”好老师、“教育之星”，讲好“教师妈妈”故事和“我的教育故事”，激励广大教师弘扬教育家精神。出台《海陵区师德师风建设十项禁令》，组织教师开展抵制“有偿补课”和“违规补课”集体承诺活动，常态化开展“师德巡访”专项督查行动，坚决查处有悖于教师形象的行为。肖晓兰老师入选“感动江苏教育人物—最美班主任”，申祖鹏老师获“江苏教师年度人物”提名奖，“东园领跑者”“尚美”教师团队入选江苏省“四有”好教师重点培育团队。二是教师培养体系初步建成。组织实施新锐教师培养工程、新入职教师培养计划，举办教育领英人才高级研修班、“胡瑗名师”养成班、“凤城名师”领航班。组建顾广林、吉桂凤名师培育中心和区级乡村骨干教师培育站，聚焦不同层面教师能力素养，开展进阶式培训和研修。制定《“名师工程”实施意见》，设立专项经费600万元/年，着眼“校长、教师、班主任”高层次人才队伍建设，分为“名系列、精锐系列、新锐系列”三个梯次，委托南京师范大学等院校实施“菜单式”精准培养。定期开展中小学教师全员能力素质测试，激发教师发展潜能、提升素养。二附中、实验小学、城东小学等3所学校获评“江苏省教师发展示范基地校”。全区现有国家“万人计划”教学名师1人、教育部新时代中小学名师 名校长培养对象1人、在职全国模范教师1人、江苏省教学名师2人，江苏省名师工作室领衔人2人，正高级教师11人，江苏省特级教师8人。海陵教师在省、市教学竞赛中获特、一等奖数量长期保持全市领先。仅2023年，有近60名教师获得市级及以上优质课、基本功竞赛特、一等奖，其中11名教师斩获省一等奖以上奖项，超过全市获奖总数三分之一。三是干部队伍建设步伐加快。健全校长分层培训体系，举办校长论坛、科长论坛及“幸福教育·领英人才”创新能力研修班，实施年轻校（园）长培优行动，分期分批选派优秀校长赴省内外名校挂职锻炼、跟岗学习。修订《海陵区加强校长队伍建设的意见》，建立校长教学质量定期述评、考核机制，健全校长任课制度，推动校长到教学一线上课、管理教学。公开选拔15名80、90后年轻校长。四是师资均衡配置不断优化。制定《海陵区中小学教师“区管校聘”管理改革工作实施意见》，修订《海陵区教育系统校级干部交流制度》，引导优秀教师、校长向农村学校、薄弱学校流动。2020年以来，全区交流校级干部50多人次，其中正职12人、城乡之间交流15人；交流教师1786人，占符合交流人数33%，其中交流骨干教师773人，占符合交流人数35%，基本实现了“教师配备基本均衡、骨干教师分布基本均衡”目标。</w:t>
      </w:r>
    </w:p>
    <w:p w14:paraId="59B73DDC">
      <w:pPr>
        <w:spacing w:line="560" w:lineRule="exact"/>
        <w:ind w:firstLine="64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5.各类教育齐头并进。一是学前教育普及普惠发展。创成国家级学前教育普及普惠区。深入推进课程游戏化建设，大浦附幼、市幼美好上郡分园、海陵幼儿园成功申报省内涵建设项目。修定海陵区幼儿园保育教育质量评估细则。</w:t>
      </w:r>
      <w:r>
        <w:rPr>
          <w:rFonts w:cs="Times New Roman"/>
          <w:color w:val="000000" w:themeColor="text1"/>
          <w:kern w:val="0"/>
          <w:sz w:val="32"/>
          <w:szCs w:val="32"/>
          <w14:textFill>
            <w14:solidFill>
              <w14:schemeClr w14:val="tx1"/>
            </w14:solidFill>
          </w14:textFill>
        </w:rPr>
        <w:t>全区学前教育入园率继续保持99%以上，</w:t>
      </w:r>
      <w:r>
        <w:rPr>
          <w:rFonts w:cs="Times New Roman"/>
          <w:color w:val="000000" w:themeColor="text1"/>
          <w:sz w:val="32"/>
          <w:szCs w:val="32"/>
          <w14:textFill>
            <w14:solidFill>
              <w14:schemeClr w14:val="tx1"/>
            </w14:solidFill>
          </w14:textFill>
        </w:rPr>
        <w:t>公办园覆盖率创新高，超过省标达70%，</w:t>
      </w:r>
      <w:r>
        <w:rPr>
          <w:rFonts w:cs="Times New Roman"/>
          <w:color w:val="000000" w:themeColor="text1"/>
          <w:kern w:val="0"/>
          <w:sz w:val="32"/>
          <w:szCs w:val="32"/>
          <w14:textFill>
            <w14:solidFill>
              <w14:schemeClr w14:val="tx1"/>
            </w14:solidFill>
          </w14:textFill>
        </w:rPr>
        <w:t>学前教育普惠率达95.5%。二是义务教育优质均衡发展。全面实行义务教育“公民同招”政策，严格规范民办学校招生行为，全面落实免试入学要求。实施义务教育学校网上招生报名，实行招生信息网上比对验核，全面推行“阳光招生、阳光分班”，试行“联合划片、一区多校”招生，让学生接受公平的教育。统筹安排符合条件的外来务工人员子女100％在区内公办学校就读。三是特殊教育优质融合发展。关爱帮扶残疾儿童等特殊群体，坚持随班就读、接受特殊教育、送教上门相结合，确保适龄残疾儿童少年入学率100％。四是社区教育创新协同发展。</w:t>
      </w:r>
      <w:r>
        <w:rPr>
          <w:rFonts w:cs="Times New Roman"/>
          <w:color w:val="000000" w:themeColor="text1"/>
          <w:sz w:val="32"/>
          <w:szCs w:val="32"/>
          <w14:textFill>
            <w14:solidFill>
              <w14:schemeClr w14:val="tx1"/>
            </w14:solidFill>
          </w14:textFill>
        </w:rPr>
        <w:t>落实“双减”政策，2021年起，全面停止审批新的面向义务教育阶段学生的学科类校外培训机构，现有学科类校外培训全面清零。召开全区学校家庭社会协同育人推进会。城东街道“家庭教育与阅读表达”课程，入选教育部社区教育“能者为师”首批推介系列特色课程。城南街道“爱+课堂”，获评2022年全国“终身学习品牌项目”。城西、城北街道2个社区教育项目入选教育部“能者为师”实践创新项目。</w:t>
      </w:r>
    </w:p>
    <w:p w14:paraId="64E559A0">
      <w:pPr>
        <w:spacing w:line="560" w:lineRule="exact"/>
        <w:ind w:firstLine="640"/>
        <w:rPr>
          <w:rFonts w:eastAsia="方正楷体_GBK" w:cs="Times New Roman"/>
          <w:color w:val="000000" w:themeColor="text1"/>
          <w:sz w:val="32"/>
          <w:szCs w:val="32"/>
          <w14:textFill>
            <w14:solidFill>
              <w14:schemeClr w14:val="tx1"/>
            </w14:solidFill>
          </w14:textFill>
        </w:rPr>
      </w:pPr>
      <w:r>
        <w:rPr>
          <w:rFonts w:eastAsia="方正楷体_GBK" w:cs="Times New Roman"/>
          <w:color w:val="000000" w:themeColor="text1"/>
          <w:sz w:val="32"/>
          <w:szCs w:val="32"/>
          <w14:textFill>
            <w14:solidFill>
              <w14:schemeClr w14:val="tx1"/>
            </w14:solidFill>
          </w14:textFill>
        </w:rPr>
        <w:t>（二）存在的主要问题</w:t>
      </w:r>
    </w:p>
    <w:p w14:paraId="5A930DD4">
      <w:pPr>
        <w:spacing w:line="560" w:lineRule="exact"/>
        <w:ind w:firstLine="630" w:firstLineChars="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在充分肯定“十四五”期间教育工作取得成绩的同时，我们也清醒地认识到当前教育改革与发展中存在的主要问题，主要表现在以下几个方面：一是城乡之间、校际之间发展不均衡。随着学龄人口明显减少，城市化进程加快，部分热点学校生源爆满，学位“一位难求”，乡镇学校生源持续萎缩，师生比被动升高，“超标”占用师资力量，存在办学规模不均衡、师资力量不均衡现象。二是优质教育资源供给不充分。名校、名校长、名教师等优质资源培育周期长，成长步伐慢，资源总量相对偏少，不能有效满足教育发展的需求。教师培养培训的系统架构尚未形成，人才培养的靶向性、实效性仍需进一步提高。三是落实“双减”政策不全面。育人方式改革有待进一步深化，与周边市区相比，拔尖创新人才早期培养机制有待加强。“学为中心”课堂未能有效落实落地，校本化教学“范式”尚未形成体系，学生学业负担仍显过重。四是教育评价改革不深刻。督导评估考核手段单一，“大数据分析”“数字画像”作用有待进一步发挥。评估结果对基层一线的指导、考核、引领作用有待进一步增强。</w:t>
      </w:r>
    </w:p>
    <w:p w14:paraId="513E3AE1">
      <w:pPr>
        <w:spacing w:line="560" w:lineRule="exact"/>
        <w:ind w:firstLine="640"/>
        <w:rPr>
          <w:rFonts w:eastAsia="方正黑体_GBK" w:cs="Times New Roman"/>
          <w:color w:val="000000" w:themeColor="text1"/>
          <w:sz w:val="32"/>
          <w:szCs w:val="32"/>
          <w14:textFill>
            <w14:solidFill>
              <w14:schemeClr w14:val="tx1"/>
            </w14:solidFill>
          </w14:textFill>
        </w:rPr>
      </w:pPr>
      <w:r>
        <w:rPr>
          <w:rFonts w:eastAsia="方正黑体_GBK" w:cs="Times New Roman"/>
          <w:color w:val="000000" w:themeColor="text1"/>
          <w:sz w:val="32"/>
          <w:szCs w:val="32"/>
          <w14:textFill>
            <w14:solidFill>
              <w14:schemeClr w14:val="tx1"/>
            </w14:solidFill>
          </w14:textFill>
        </w:rPr>
        <w:t>二、发展概况</w:t>
      </w:r>
    </w:p>
    <w:p w14:paraId="670353F4">
      <w:pPr>
        <w:spacing w:line="560" w:lineRule="exact"/>
        <w:ind w:firstLine="640"/>
        <w:rPr>
          <w:rFonts w:eastAsia="方正楷体_GBK" w:cs="Times New Roman"/>
          <w:color w:val="000000" w:themeColor="text1"/>
          <w:sz w:val="32"/>
          <w:szCs w:val="32"/>
          <w14:textFill>
            <w14:solidFill>
              <w14:schemeClr w14:val="tx1"/>
            </w14:solidFill>
          </w14:textFill>
        </w:rPr>
      </w:pPr>
      <w:r>
        <w:rPr>
          <w:rFonts w:eastAsia="方正楷体_GBK" w:cs="Times New Roman"/>
          <w:color w:val="000000" w:themeColor="text1"/>
          <w:sz w:val="32"/>
          <w:szCs w:val="32"/>
          <w14:textFill>
            <w14:solidFill>
              <w14:schemeClr w14:val="tx1"/>
            </w14:solidFill>
          </w14:textFill>
        </w:rPr>
        <w:t>（一）指导思想</w:t>
      </w:r>
    </w:p>
    <w:p w14:paraId="482C13B6">
      <w:pPr>
        <w:spacing w:line="560" w:lineRule="exact"/>
        <w:ind w:firstLine="64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以习近平新时代中国特色社会主义思想为指导，深入贯彻落实党的二十大和二十届历次全会精神，全面贯彻党的教育方针，坚持“健康第一、全面发展”育人思想，秉持“赓续文脉、量质并重、内外兼修”的发展理念，全面落实立德树人根本任务，以办好人民满意的教育为宗旨，以构建最具主城品质的高质量教育体系为目标，进一步适应人口和经济社会发展需要，不断深化教育综合改革，持续优化教育生态，稳步提升育人质量，加快推进海陵教育高质量发展，为谱写中国式现代化海陵新篇章贡献强劲的教育动能。</w:t>
      </w:r>
    </w:p>
    <w:p w14:paraId="18EB1CC0">
      <w:pPr>
        <w:spacing w:line="560" w:lineRule="exact"/>
        <w:ind w:firstLine="640"/>
        <w:rPr>
          <w:rFonts w:eastAsia="方正楷体_GBK" w:cs="Times New Roman"/>
          <w:color w:val="000000" w:themeColor="text1"/>
          <w:sz w:val="32"/>
          <w:szCs w:val="32"/>
          <w14:textFill>
            <w14:solidFill>
              <w14:schemeClr w14:val="tx1"/>
            </w14:solidFill>
          </w14:textFill>
        </w:rPr>
      </w:pPr>
      <w:r>
        <w:rPr>
          <w:rFonts w:eastAsia="方正楷体_GBK" w:cs="Times New Roman"/>
          <w:color w:val="000000" w:themeColor="text1"/>
          <w:sz w:val="32"/>
          <w:szCs w:val="32"/>
          <w14:textFill>
            <w14:solidFill>
              <w14:schemeClr w14:val="tx1"/>
            </w14:solidFill>
          </w14:textFill>
        </w:rPr>
        <w:t>（二）基本原则</w:t>
      </w:r>
    </w:p>
    <w:p w14:paraId="2F5BEF72">
      <w:pPr>
        <w:spacing w:line="560" w:lineRule="exact"/>
        <w:ind w:firstLine="64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坚持高起点规划。顺应学龄人口变化趋势，根据海陵区城市发展新要求、新定位，加大资源整合力度，不断优化办学环境， 推动教育集团核心校校园文化焕新行动，加快乡镇学校整合提优进程，不断优化中小学幼儿园发展空间布局。</w:t>
      </w:r>
    </w:p>
    <w:p w14:paraId="18569E99">
      <w:pPr>
        <w:spacing w:line="560" w:lineRule="exact"/>
        <w:ind w:firstLine="64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坚持高质量育人。坚持以生为本，遵循教育发展规律和学生身心发展特点，全面构建“五育并举”融合育人全面培养体系，扎实推进教学质量内涵建设，推动扩优提质，提升育人质量。促进人工智能和教育深度融合，培育未来教师，构建未来课堂，创设未来学习中心，探索未来科教融合新范式。</w:t>
      </w:r>
    </w:p>
    <w:p w14:paraId="71937996">
      <w:pPr>
        <w:spacing w:line="560" w:lineRule="exact"/>
        <w:ind w:firstLine="64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坚持高水平均衡。以“办好家门口每一所学校”为目标，加强与优质高校资源深度合作，探索集团化办学新模式，建立兼具公平与效率的集团化办学新格局，引导师资有序流动，不断扩大优质教育资源覆盖面。</w:t>
      </w:r>
    </w:p>
    <w:p w14:paraId="52E3965E">
      <w:pPr>
        <w:spacing w:line="560" w:lineRule="exact"/>
        <w:ind w:firstLine="64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 xml:space="preserve">坚持高品质服务。主动回应社会关切，着力破解教育热点难点问题，深化教育内涵发展、特色发展，推进课程与教学改革，全面推进优质课后服务，大弘扬教育家精神，着力建设一支高素质、专业化的校长和教师队伍。 </w:t>
      </w:r>
    </w:p>
    <w:p w14:paraId="446447F3">
      <w:pPr>
        <w:spacing w:line="560" w:lineRule="exact"/>
        <w:ind w:firstLine="640"/>
        <w:rPr>
          <w:rFonts w:eastAsia="方正楷体_GBK" w:cs="Times New Roman"/>
          <w:color w:val="000000" w:themeColor="text1"/>
          <w:sz w:val="32"/>
          <w:szCs w:val="32"/>
          <w14:textFill>
            <w14:solidFill>
              <w14:schemeClr w14:val="tx1"/>
            </w14:solidFill>
          </w14:textFill>
        </w:rPr>
      </w:pPr>
      <w:r>
        <w:rPr>
          <w:rFonts w:eastAsia="方正楷体_GBK" w:cs="Times New Roman"/>
          <w:color w:val="000000" w:themeColor="text1"/>
          <w:sz w:val="32"/>
          <w:szCs w:val="32"/>
          <w14:textFill>
            <w14:solidFill>
              <w14:schemeClr w14:val="tx1"/>
            </w14:solidFill>
          </w14:textFill>
        </w:rPr>
        <w:t>（三）发展目标</w:t>
      </w:r>
    </w:p>
    <w:p w14:paraId="0AE15C4C">
      <w:pPr>
        <w:spacing w:line="560" w:lineRule="exact"/>
        <w:ind w:firstLine="64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进一步适应人口和经济社会发展需要，秉持“赓续文脉、量质并举、内外兼修”的发展理念，持续深化幸福教育改革创新，扎实推进“全域精治、全</w:t>
      </w:r>
      <w:r>
        <w:rPr>
          <w:rFonts w:hint="eastAsia" w:cs="Times New Roman"/>
          <w:color w:val="000000" w:themeColor="text1"/>
          <w:sz w:val="32"/>
          <w:szCs w:val="32"/>
          <w14:textFill>
            <w14:solidFill>
              <w14:schemeClr w14:val="tx1"/>
            </w14:solidFill>
          </w14:textFill>
        </w:rPr>
        <w:t>人</w:t>
      </w:r>
      <w:r>
        <w:rPr>
          <w:rFonts w:cs="Times New Roman"/>
          <w:color w:val="000000" w:themeColor="text1"/>
          <w:sz w:val="32"/>
          <w:szCs w:val="32"/>
          <w14:textFill>
            <w14:solidFill>
              <w14:schemeClr w14:val="tx1"/>
            </w14:solidFill>
          </w14:textFill>
        </w:rPr>
        <w:t>发展、全链优质、全程优培、全</w:t>
      </w:r>
      <w:r>
        <w:rPr>
          <w:rFonts w:hint="eastAsia" w:cs="Times New Roman"/>
          <w:color w:val="000000" w:themeColor="text1"/>
          <w:sz w:val="32"/>
          <w:szCs w:val="32"/>
          <w14:textFill>
            <w14:solidFill>
              <w14:schemeClr w14:val="tx1"/>
            </w14:solidFill>
          </w14:textFill>
        </w:rPr>
        <w:t>维</w:t>
      </w:r>
      <w:r>
        <w:rPr>
          <w:rFonts w:cs="Times New Roman"/>
          <w:color w:val="000000" w:themeColor="text1"/>
          <w:sz w:val="32"/>
          <w:szCs w:val="32"/>
          <w14:textFill>
            <w14:solidFill>
              <w14:schemeClr w14:val="tx1"/>
            </w14:solidFill>
          </w14:textFill>
        </w:rPr>
        <w:t>护航”五大教育工程，到2028年，初步完成与主城发展相适应的城镇学校布局优化调整，基本建成高质量教育体系，区域教育教学质量进一步提升，优质教育资源供给进一步增加，教师队伍整体素质和结构进一步优化，全区学前教育优质普惠、义务教育优质均衡和城乡一体化发展水平进一步提高，人民群众的教育获得感和幸福感显著增强，教育成为与海陵主城地位相匹配的最具吸引力的“金色名片”。</w:t>
      </w:r>
    </w:p>
    <w:p w14:paraId="722FA5A3">
      <w:pPr>
        <w:spacing w:line="560" w:lineRule="exact"/>
        <w:ind w:firstLine="640"/>
        <w:rPr>
          <w:rFonts w:eastAsia="方正黑体_GBK" w:cs="Times New Roman"/>
          <w:color w:val="000000" w:themeColor="text1"/>
          <w:sz w:val="32"/>
          <w:szCs w:val="32"/>
          <w14:textFill>
            <w14:solidFill>
              <w14:schemeClr w14:val="tx1"/>
            </w14:solidFill>
          </w14:textFill>
        </w:rPr>
      </w:pPr>
      <w:r>
        <w:rPr>
          <w:rFonts w:eastAsia="方正黑体_GBK" w:cs="Times New Roman"/>
          <w:color w:val="000000" w:themeColor="text1"/>
          <w:sz w:val="32"/>
          <w:szCs w:val="32"/>
          <w14:textFill>
            <w14:solidFill>
              <w14:schemeClr w14:val="tx1"/>
            </w14:solidFill>
          </w14:textFill>
        </w:rPr>
        <w:t>三、发展方向和重点</w:t>
      </w:r>
    </w:p>
    <w:p w14:paraId="4BCB8EF9">
      <w:pPr>
        <w:spacing w:line="560" w:lineRule="exact"/>
        <w:ind w:firstLine="643"/>
        <w:rPr>
          <w:rFonts w:cs="Times New Roman"/>
          <w:b/>
          <w:color w:val="000000" w:themeColor="text1"/>
          <w:sz w:val="32"/>
          <w:szCs w:val="32"/>
          <w14:textFill>
            <w14:solidFill>
              <w14:schemeClr w14:val="tx1"/>
            </w14:solidFill>
          </w14:textFill>
        </w:rPr>
      </w:pPr>
      <w:r>
        <w:rPr>
          <w:rFonts w:cs="Times New Roman"/>
          <w:b/>
          <w:color w:val="000000" w:themeColor="text1"/>
          <w:sz w:val="32"/>
          <w:szCs w:val="32"/>
          <w14:textFill>
            <w14:solidFill>
              <w14:schemeClr w14:val="tx1"/>
            </w14:solidFill>
          </w14:textFill>
        </w:rPr>
        <w:t>——教育投入优先保障。</w:t>
      </w:r>
      <w:r>
        <w:rPr>
          <w:rFonts w:cs="Times New Roman"/>
          <w:color w:val="000000" w:themeColor="text1"/>
          <w:sz w:val="32"/>
          <w:szCs w:val="32"/>
          <w14:textFill>
            <w14:solidFill>
              <w14:schemeClr w14:val="tx1"/>
            </w14:solidFill>
          </w14:textFill>
        </w:rPr>
        <w:t>积极争取财政资金投入，强化教育经费保障机制，落实教育经费投入“两个只增不减”要求。公办学校资金拨付及时率保持100%；民办学校专项资金专用率达100%，已签订资金监管协议学校的专户资金规范使用率达100%；全区教育系统资产闲置率5%以下。保障教师各项待遇落实到位，建立联动增长机制，确保中小学教师平均工资收入水平不低平或高于公务员平均工资收入水平。</w:t>
      </w:r>
    </w:p>
    <w:p w14:paraId="0FF626B1">
      <w:pPr>
        <w:spacing w:line="560" w:lineRule="exact"/>
        <w:ind w:firstLine="643"/>
        <w:rPr>
          <w:rFonts w:cs="Times New Roman"/>
          <w:color w:val="000000" w:themeColor="text1"/>
          <w:sz w:val="32"/>
          <w:szCs w:val="32"/>
          <w14:textFill>
            <w14:solidFill>
              <w14:schemeClr w14:val="tx1"/>
            </w14:solidFill>
          </w14:textFill>
        </w:rPr>
      </w:pPr>
      <w:r>
        <w:rPr>
          <w:rFonts w:cs="Times New Roman"/>
          <w:b/>
          <w:color w:val="000000" w:themeColor="text1"/>
          <w:sz w:val="32"/>
          <w:szCs w:val="32"/>
          <w14:textFill>
            <w14:solidFill>
              <w14:schemeClr w14:val="tx1"/>
            </w14:solidFill>
          </w14:textFill>
        </w:rPr>
        <w:t>——深化育人方式变革。</w:t>
      </w:r>
      <w:r>
        <w:rPr>
          <w:rFonts w:cs="Times New Roman"/>
          <w:color w:val="000000" w:themeColor="text1"/>
          <w:sz w:val="32"/>
          <w:szCs w:val="32"/>
          <w14:textFill>
            <w14:solidFill>
              <w14:schemeClr w14:val="tx1"/>
            </w14:solidFill>
          </w14:textFill>
        </w:rPr>
        <w:t>深入推进课程教学改革，推动全区中小学薄弱学科在人才建设、资源建设等方面取得显著突破，区域教育教学质量在全市实现争先进位。深化思政课一体化建设，打造德育课程体系，促进课程德育与德育课程深度融合。主动适应学龄人口的变化，在有条件的学校探索小班化教育，精准实施分层教学，提高教育教学质量。深刻理解和加强中小学人工智能教育，积极运用人工智能技术赋能“教—学—研—评—训—管”全过程全链条。牢牢把握智能时代育人的本质要求，更加注重中小学生智慧启迪和心灵滋养，更加注重综合素质的提升，强化科技教育和人文教育协同。持续开展拔尖创新人才培养实践探索，顶层设计开发建设具有海陵特色的贯通式的跨学段、跨学科课程体系，强化学段衔接，注重教学教研，完善评价体系。积极探索农村学校九年一贯制办学改革，不断提升农村学校办学质量。到2030年，课程改革覆盖率达100%，校本课程建设数量超过省市要求，教学模式创新有效推进，新增省内涵建设项目15个。</w:t>
      </w:r>
    </w:p>
    <w:p w14:paraId="22E2C5BA">
      <w:pPr>
        <w:spacing w:line="560" w:lineRule="exact"/>
        <w:ind w:firstLine="643"/>
        <w:rPr>
          <w:rFonts w:cs="Times New Roman"/>
          <w:color w:val="000000" w:themeColor="text1"/>
          <w:sz w:val="32"/>
          <w:szCs w:val="32"/>
          <w14:textFill>
            <w14:solidFill>
              <w14:schemeClr w14:val="tx1"/>
            </w14:solidFill>
          </w14:textFill>
        </w:rPr>
      </w:pPr>
      <w:r>
        <w:rPr>
          <w:rFonts w:eastAsia="宋体" w:cs="Times New Roman"/>
          <w:b/>
          <w:color w:val="000000" w:themeColor="text1"/>
          <w:sz w:val="32"/>
          <w:szCs w:val="32"/>
          <w14:textFill>
            <w14:solidFill>
              <w14:schemeClr w14:val="tx1"/>
            </w14:solidFill>
          </w14:textFill>
        </w:rPr>
        <w:t>——</w:t>
      </w:r>
      <w:r>
        <w:rPr>
          <w:rFonts w:cs="Times New Roman"/>
          <w:b/>
          <w:color w:val="000000" w:themeColor="text1"/>
          <w:sz w:val="32"/>
          <w:szCs w:val="32"/>
          <w14:textFill>
            <w14:solidFill>
              <w14:schemeClr w14:val="tx1"/>
            </w14:solidFill>
          </w14:textFill>
        </w:rPr>
        <w:t>队伍建设步伐加快。</w:t>
      </w:r>
      <w:r>
        <w:rPr>
          <w:rFonts w:cs="Times New Roman"/>
          <w:color w:val="000000" w:themeColor="text1"/>
          <w:sz w:val="32"/>
          <w:szCs w:val="32"/>
          <w14:textFill>
            <w14:solidFill>
              <w14:schemeClr w14:val="tx1"/>
            </w14:solidFill>
          </w14:textFill>
        </w:rPr>
        <w:t>教师发展的重心下沉至学校，激发学校作为教师成长第一阵地的内生动力，让“在研究的状态下工作，在工作的过程中研究”这一核心理念成为中小学幼儿园教师的行动自觉。构建覆盖教师完整职业生涯、通道清晰、纵向贯通、横向衔接的“金字塔”式分层分类培育体系。实现教师信息化素养培训全覆盖，推动教师发展模式数字化、智能化转型，教师运用人工智能技术提升教学能力显著提升。到2030年，省市级基本功、优质课竞赛获奖人数继续领跑全市，教师队伍结构进一步优化，城乡、校际、学科之间师资进一步均衡配置。教师培训覆盖率90%以上，教师学历进一步提升，幼儿园教师大专率达100%，本科率达70%；小学教师本科率达95%；初中教师本科率达100%；全区教师研究生率达5%。全区生师比达到江苏省教育现代化建设要求，幼儿园生师比15:1，小学生师比17:1，初中生师比12:1。新增特级教师、正高级教师</w:t>
      </w:r>
      <w:r>
        <w:rPr>
          <w:rFonts w:hint="eastAsia" w:cs="Times New Roman"/>
          <w:color w:val="000000" w:themeColor="text1"/>
          <w:sz w:val="32"/>
          <w:szCs w:val="32"/>
          <w14:textFill>
            <w14:solidFill>
              <w14:schemeClr w14:val="tx1"/>
            </w14:solidFill>
          </w14:textFill>
        </w:rPr>
        <w:t>10</w:t>
      </w:r>
      <w:r>
        <w:rPr>
          <w:rFonts w:cs="Times New Roman"/>
          <w:color w:val="000000" w:themeColor="text1"/>
          <w:sz w:val="32"/>
          <w:szCs w:val="32"/>
          <w14:textFill>
            <w14:solidFill>
              <w14:schemeClr w14:val="tx1"/>
            </w14:solidFill>
          </w14:textFill>
        </w:rPr>
        <w:t>人，新培育新锐教师200名，省、市教学成果立项数年均增长10%。</w:t>
      </w:r>
    </w:p>
    <w:p w14:paraId="094655EE">
      <w:pPr>
        <w:spacing w:line="560" w:lineRule="exact"/>
        <w:ind w:firstLine="643"/>
        <w:rPr>
          <w:rFonts w:cs="Times New Roman"/>
          <w:color w:val="000000" w:themeColor="text1"/>
          <w:sz w:val="32"/>
          <w:szCs w:val="32"/>
          <w14:textFill>
            <w14:solidFill>
              <w14:schemeClr w14:val="tx1"/>
            </w14:solidFill>
          </w14:textFill>
        </w:rPr>
      </w:pPr>
      <w:r>
        <w:rPr>
          <w:rFonts w:eastAsia="宋体" w:cs="Times New Roman"/>
          <w:b/>
          <w:color w:val="000000" w:themeColor="text1"/>
          <w:sz w:val="32"/>
          <w:szCs w:val="32"/>
          <w14:textFill>
            <w14:solidFill>
              <w14:schemeClr w14:val="tx1"/>
            </w14:solidFill>
          </w14:textFill>
        </w:rPr>
        <w:t>——</w:t>
      </w:r>
      <w:r>
        <w:rPr>
          <w:rFonts w:cs="Times New Roman"/>
          <w:b/>
          <w:color w:val="000000" w:themeColor="text1"/>
          <w:sz w:val="32"/>
          <w:szCs w:val="32"/>
          <w14:textFill>
            <w14:solidFill>
              <w14:schemeClr w14:val="tx1"/>
            </w14:solidFill>
          </w14:textFill>
        </w:rPr>
        <w:t>各类教育协同发展。</w:t>
      </w:r>
      <w:r>
        <w:rPr>
          <w:rFonts w:cs="Times New Roman"/>
          <w:color w:val="000000" w:themeColor="text1"/>
          <w:sz w:val="32"/>
          <w:szCs w:val="32"/>
          <w14:textFill>
            <w14:solidFill>
              <w14:schemeClr w14:val="tx1"/>
            </w14:solidFill>
          </w14:textFill>
        </w:rPr>
        <w:t>顺应学龄人口变化趋势，结合海陵经济社会发展需要，进一步优化全区中小学幼儿园布局。学前三年毛入园率保持在99%以上，公办园覆盖率70%以上，普惠园覆盖率保持在90%以上。着力提升托育服务品质，托班照护人员持证上岗率达100%，提供托育服务的公办园比例达60%以上。深化集团化办学管理改革，分步骤实施教育集团重构、独立行动，激发办学活力，提升办学质效。全民终身学习参与率达99%，60%社区学校创建成省级现代化社区教育中心。</w:t>
      </w:r>
    </w:p>
    <w:p w14:paraId="4EC20127">
      <w:pPr>
        <w:spacing w:line="560" w:lineRule="exact"/>
        <w:ind w:firstLine="643"/>
        <w:rPr>
          <w:rFonts w:cs="Times New Roman"/>
          <w:color w:val="000000" w:themeColor="text1"/>
          <w:sz w:val="32"/>
          <w:szCs w:val="32"/>
          <w14:textFill>
            <w14:solidFill>
              <w14:schemeClr w14:val="tx1"/>
            </w14:solidFill>
          </w14:textFill>
        </w:rPr>
      </w:pPr>
      <w:r>
        <w:rPr>
          <w:rFonts w:eastAsia="宋体" w:cs="Times New Roman"/>
          <w:b/>
          <w:color w:val="000000" w:themeColor="text1"/>
          <w:sz w:val="32"/>
          <w:szCs w:val="32"/>
          <w14:textFill>
            <w14:solidFill>
              <w14:schemeClr w14:val="tx1"/>
            </w14:solidFill>
          </w14:textFill>
        </w:rPr>
        <w:t>——</w:t>
      </w:r>
      <w:r>
        <w:rPr>
          <w:rFonts w:cs="Times New Roman"/>
          <w:b/>
          <w:color w:val="000000" w:themeColor="text1"/>
          <w:sz w:val="32"/>
          <w:szCs w:val="32"/>
          <w14:textFill>
            <w14:solidFill>
              <w14:schemeClr w14:val="tx1"/>
            </w14:solidFill>
          </w14:textFill>
        </w:rPr>
        <w:t>深化教育评价改革。</w:t>
      </w:r>
      <w:r>
        <w:rPr>
          <w:rFonts w:cs="Times New Roman"/>
          <w:color w:val="000000" w:themeColor="text1"/>
          <w:sz w:val="32"/>
          <w:szCs w:val="32"/>
          <w14:textFill>
            <w14:solidFill>
              <w14:schemeClr w14:val="tx1"/>
            </w14:solidFill>
          </w14:textFill>
        </w:rPr>
        <w:t>到2030年，基本形成富有时代特征、彰显区域特色、科学高效的教育评价体系。以提升教育治理现代化水平为核心，健全“督评、督教、督效、督责”四位一体的督导体系，建强专业化督导队伍与高素质教育管理队伍。“五唯”评价倾向得到根本性扭转，中小学校考核评价体系持续优化，学校、教师、学生、家长的教育价值观引导有力、有效，学校治理体系进一步完善。</w:t>
      </w:r>
    </w:p>
    <w:p w14:paraId="28ECCE9D">
      <w:pPr>
        <w:spacing w:line="560" w:lineRule="exact"/>
        <w:ind w:firstLine="643"/>
        <w:rPr>
          <w:rFonts w:cs="Times New Roman"/>
          <w:b/>
          <w:color w:val="000000" w:themeColor="text1"/>
          <w:sz w:val="32"/>
          <w:szCs w:val="32"/>
          <w14:textFill>
            <w14:solidFill>
              <w14:schemeClr w14:val="tx1"/>
            </w14:solidFill>
          </w14:textFill>
        </w:rPr>
      </w:pPr>
      <w:r>
        <w:rPr>
          <w:rFonts w:cs="Times New Roman"/>
          <w:b/>
          <w:color w:val="000000" w:themeColor="text1"/>
          <w:sz w:val="32"/>
          <w:szCs w:val="32"/>
          <w14:textFill>
            <w14:solidFill>
              <w14:schemeClr w14:val="tx1"/>
            </w14:solidFill>
          </w14:textFill>
        </w:rPr>
        <w:t>——办学条件持续改善。</w:t>
      </w:r>
      <w:r>
        <w:rPr>
          <w:rFonts w:cs="Times New Roman"/>
          <w:color w:val="000000" w:themeColor="text1"/>
          <w:sz w:val="32"/>
          <w:szCs w:val="32"/>
          <w14:textFill>
            <w14:solidFill>
              <w14:schemeClr w14:val="tx1"/>
            </w14:solidFill>
          </w14:textFill>
        </w:rPr>
        <w:t>持续通过对校园建筑、教学场地、配套设施等进行升级，改善办学硬件环境，匹配现代化教学需求，让老校焕发新姿、让新校功能更趋完善。以“两新”工作为契机，围绕“适配教学、保障安全、创新应用”，分领域推进教育装备升级。以“安全可控、管理高效”为核心，建立全流程校舍基建管理体系。根据我区特殊儿童青少年入学需求，配齐配足功能教室，进一步提升海陵区特殊教育学校的办学规模与办学条件。</w:t>
      </w:r>
      <w:r>
        <w:rPr>
          <w:rFonts w:hint="eastAsia" w:cs="Times New Roman"/>
          <w:color w:val="000000" w:themeColor="text1"/>
          <w:sz w:val="32"/>
          <w:szCs w:val="32"/>
          <w14:textFill>
            <w14:solidFill>
              <w14:schemeClr w14:val="tx1"/>
            </w14:solidFill>
          </w14:textFill>
        </w:rPr>
        <w:t>到2030年，新（改、扩）建学校  8所，撤并学校2所，合并学校 2所。</w:t>
      </w:r>
    </w:p>
    <w:p w14:paraId="4CB604C4">
      <w:pPr>
        <w:spacing w:line="560" w:lineRule="exact"/>
        <w:ind w:firstLine="645" w:firstLineChars="0"/>
        <w:rPr>
          <w:rFonts w:cs="Times New Roman"/>
          <w:color w:val="000000" w:themeColor="text1"/>
          <w:sz w:val="32"/>
          <w:szCs w:val="32"/>
          <w14:textFill>
            <w14:solidFill>
              <w14:schemeClr w14:val="tx1"/>
            </w14:solidFill>
          </w14:textFill>
        </w:rPr>
      </w:pPr>
      <w:r>
        <w:rPr>
          <w:rFonts w:cs="Times New Roman"/>
          <w:b/>
          <w:color w:val="000000" w:themeColor="text1"/>
          <w:sz w:val="32"/>
          <w:szCs w:val="32"/>
          <w14:textFill>
            <w14:solidFill>
              <w14:schemeClr w14:val="tx1"/>
            </w14:solidFill>
          </w14:textFill>
        </w:rPr>
        <w:t>——筑牢校园安全防线</w:t>
      </w:r>
      <w:r>
        <w:rPr>
          <w:rFonts w:cs="Times New Roman"/>
          <w:color w:val="000000" w:themeColor="text1"/>
          <w:sz w:val="32"/>
          <w:szCs w:val="32"/>
          <w14:textFill>
            <w14:solidFill>
              <w14:schemeClr w14:val="tx1"/>
            </w14:solidFill>
          </w14:textFill>
        </w:rPr>
        <w:t>。坚持“安全第一、预防为主、综合治理”工作方针，紧紧围绕“保安全、</w:t>
      </w:r>
      <w:r>
        <w:rPr>
          <w:rFonts w:hint="eastAsia" w:cs="Times New Roman"/>
          <w:color w:val="000000" w:themeColor="text1"/>
          <w:sz w:val="32"/>
          <w:szCs w:val="32"/>
          <w14:textFill>
            <w14:solidFill>
              <w14:schemeClr w14:val="tx1"/>
            </w14:solidFill>
          </w14:textFill>
        </w:rPr>
        <w:t>护</w:t>
      </w:r>
      <w:r>
        <w:rPr>
          <w:rFonts w:cs="Times New Roman"/>
          <w:color w:val="000000" w:themeColor="text1"/>
          <w:sz w:val="32"/>
          <w:szCs w:val="32"/>
          <w14:textFill>
            <w14:solidFill>
              <w14:schemeClr w14:val="tx1"/>
            </w14:solidFill>
          </w14:textFill>
        </w:rPr>
        <w:t>稳定、促发展”核心目标，健全完善“区-校-班”三级安全管理责任体系，聚焦</w:t>
      </w:r>
      <w:r>
        <w:rPr>
          <w:rFonts w:hint="eastAsia" w:cs="Times New Roman"/>
          <w:color w:val="000000" w:themeColor="text1"/>
          <w:sz w:val="32"/>
          <w:szCs w:val="32"/>
          <w14:textFill>
            <w14:solidFill>
              <w14:schemeClr w14:val="tx1"/>
            </w14:solidFill>
          </w14:textFill>
        </w:rPr>
        <w:t>校园消防、建筑及施工、食品安全、交通安全、实验室及危化品、校外培训机构、体育场馆、校园周边环境综合治理等重点领域，全</w:t>
      </w:r>
      <w:r>
        <w:rPr>
          <w:rFonts w:cs="Times New Roman"/>
          <w:color w:val="000000" w:themeColor="text1"/>
          <w:sz w:val="32"/>
          <w:szCs w:val="32"/>
          <w14:textFill>
            <w14:solidFill>
              <w14:schemeClr w14:val="tx1"/>
            </w14:solidFill>
          </w14:textFill>
        </w:rPr>
        <w:t>面开展安全宣传教育、隐患排查整治、风险防控化解等工作，推动校园安全治理实现向事前预防转型，</w:t>
      </w:r>
      <w:r>
        <w:rPr>
          <w:rFonts w:hint="eastAsia" w:cs="Times New Roman"/>
          <w:color w:val="000000" w:themeColor="text1"/>
          <w:sz w:val="32"/>
          <w:szCs w:val="32"/>
          <w14:textFill>
            <w14:solidFill>
              <w14:schemeClr w14:val="tx1"/>
            </w14:solidFill>
          </w14:textFill>
        </w:rPr>
        <w:t>不</w:t>
      </w:r>
      <w:r>
        <w:rPr>
          <w:rFonts w:cs="Times New Roman"/>
          <w:color w:val="000000" w:themeColor="text1"/>
          <w:sz w:val="32"/>
          <w:szCs w:val="32"/>
          <w14:textFill>
            <w14:solidFill>
              <w14:schemeClr w14:val="tx1"/>
            </w14:solidFill>
          </w14:textFill>
        </w:rPr>
        <w:t>断提高校园安全本质水平，</w:t>
      </w:r>
      <w:r>
        <w:rPr>
          <w:rFonts w:hint="eastAsia" w:cs="Times New Roman"/>
          <w:color w:val="000000" w:themeColor="text1"/>
          <w:sz w:val="32"/>
          <w:szCs w:val="32"/>
          <w14:textFill>
            <w14:solidFill>
              <w14:schemeClr w14:val="tx1"/>
            </w14:solidFill>
          </w14:textFill>
        </w:rPr>
        <w:t>切实</w:t>
      </w:r>
      <w:r>
        <w:rPr>
          <w:rFonts w:cs="Times New Roman"/>
          <w:color w:val="000000" w:themeColor="text1"/>
          <w:sz w:val="32"/>
          <w:szCs w:val="32"/>
          <w14:textFill>
            <w14:solidFill>
              <w14:schemeClr w14:val="tx1"/>
            </w14:solidFill>
          </w14:textFill>
        </w:rPr>
        <w:t>筑</w:t>
      </w:r>
      <w:r>
        <w:rPr>
          <w:rFonts w:hint="eastAsia" w:cs="Times New Roman"/>
          <w:color w:val="000000" w:themeColor="text1"/>
          <w:sz w:val="32"/>
          <w:szCs w:val="32"/>
          <w14:textFill>
            <w14:solidFill>
              <w14:schemeClr w14:val="tx1"/>
            </w14:solidFill>
          </w14:textFill>
        </w:rPr>
        <w:t>牢学校安全防线</w:t>
      </w:r>
      <w:r>
        <w:rPr>
          <w:rFonts w:cs="Times New Roman"/>
          <w:color w:val="000000" w:themeColor="text1"/>
          <w:sz w:val="32"/>
          <w:szCs w:val="32"/>
          <w14:textFill>
            <w14:solidFill>
              <w14:schemeClr w14:val="tx1"/>
            </w14:solidFill>
          </w14:textFill>
        </w:rPr>
        <w:t>。所有学校两年内完成应急预案的数字化和可视化改造，欺凌事件有效处置率达到100%。</w:t>
      </w:r>
    </w:p>
    <w:p w14:paraId="2660983B">
      <w:pPr>
        <w:spacing w:line="560" w:lineRule="exact"/>
        <w:ind w:firstLine="640"/>
        <w:rPr>
          <w:rFonts w:eastAsia="方正黑体_GBK" w:cs="Times New Roman"/>
          <w:color w:val="000000" w:themeColor="text1"/>
          <w:sz w:val="32"/>
          <w:szCs w:val="32"/>
          <w14:textFill>
            <w14:solidFill>
              <w14:schemeClr w14:val="tx1"/>
            </w14:solidFill>
          </w14:textFill>
        </w:rPr>
      </w:pPr>
      <w:r>
        <w:rPr>
          <w:rFonts w:eastAsia="方正黑体_GBK" w:cs="Times New Roman"/>
          <w:color w:val="000000" w:themeColor="text1"/>
          <w:sz w:val="32"/>
          <w:szCs w:val="32"/>
          <w14:textFill>
            <w14:solidFill>
              <w14:schemeClr w14:val="tx1"/>
            </w14:solidFill>
          </w14:textFill>
        </w:rPr>
        <w:t>四、重点任务</w:t>
      </w:r>
    </w:p>
    <w:p w14:paraId="4BC139BE">
      <w:pPr>
        <w:spacing w:line="560" w:lineRule="exact"/>
        <w:ind w:firstLine="645" w:firstLineChars="0"/>
        <w:rPr>
          <w:rFonts w:cs="Times New Roman"/>
          <w:color w:val="000000" w:themeColor="text1"/>
          <w:sz w:val="32"/>
          <w:szCs w:val="32"/>
          <w14:textFill>
            <w14:solidFill>
              <w14:schemeClr w14:val="tx1"/>
            </w14:solidFill>
          </w14:textFill>
        </w:rPr>
      </w:pPr>
      <w:r>
        <w:rPr>
          <w:rFonts w:eastAsia="宋体" w:cs="Times New Roman"/>
          <w:b/>
          <w:color w:val="000000" w:themeColor="text1"/>
          <w:sz w:val="32"/>
          <w:szCs w:val="32"/>
          <w14:textFill>
            <w14:solidFill>
              <w14:schemeClr w14:val="tx1"/>
            </w14:solidFill>
          </w14:textFill>
        </w:rPr>
        <w:t>——</w:t>
      </w:r>
      <w:r>
        <w:rPr>
          <w:rFonts w:cs="Times New Roman"/>
          <w:b/>
          <w:color w:val="000000" w:themeColor="text1"/>
          <w:sz w:val="32"/>
          <w:szCs w:val="32"/>
          <w14:textFill>
            <w14:solidFill>
              <w14:schemeClr w14:val="tx1"/>
            </w14:solidFill>
          </w14:textFill>
        </w:rPr>
        <w:t>“全域精治”推动中小学幼儿园布局优化调整</w:t>
      </w:r>
      <w:r>
        <w:rPr>
          <w:rFonts w:cs="Times New Roman"/>
          <w:color w:val="000000" w:themeColor="text1"/>
          <w:sz w:val="32"/>
          <w:szCs w:val="32"/>
          <w14:textFill>
            <w14:solidFill>
              <w14:schemeClr w14:val="tx1"/>
            </w14:solidFill>
          </w14:textFill>
        </w:rPr>
        <w:t>。强化规划的载体功能和项目支撑。具体实施三大行动：一是名校焕新行动。旨在</w:t>
      </w:r>
      <w:r>
        <w:rPr>
          <w:rFonts w:hint="eastAsia" w:cs="Times New Roman"/>
          <w:color w:val="000000" w:themeColor="text1"/>
          <w:sz w:val="32"/>
          <w:szCs w:val="32"/>
          <w14:textFill>
            <w14:solidFill>
              <w14:schemeClr w14:val="tx1"/>
            </w14:solidFill>
          </w14:textFill>
        </w:rPr>
        <w:t>放</w:t>
      </w:r>
      <w:r>
        <w:rPr>
          <w:rFonts w:cs="Times New Roman"/>
          <w:color w:val="000000" w:themeColor="text1"/>
          <w:sz w:val="32"/>
          <w:szCs w:val="32"/>
          <w14:textFill>
            <w14:solidFill>
              <w14:schemeClr w14:val="tx1"/>
            </w14:solidFill>
          </w14:textFill>
        </w:rPr>
        <w:t>大名城、名校（名师）效应，确保集团核心校环境出新、文化出彩、功能出效、品牌出众，进一步提升中心城区的教育首位度与软实力，重点实施“三园、三小、一中、一宫”微改造：三园，即按照精致办园理念，对泰州市幼儿园、实验小学附属幼儿园、城东小学附属幼儿园，改善办园条件，提高办园品质，加强托幼一体化建设，打造高品质、优质普惠的学前教育“海陵样板”。三小，实施城东小学鼓楼校区改扩建行动。鼓楼校区向东、向北扩建，迎春校区并入鼓楼校区。实施实验小学更新改造行动，改造实验小学风雨操场和体育馆，实施校园周边交通畅通工程。实施大浦小学文化品质提升工程，深化校园文化建设，改善办学条件，进一步提升其办学品质。</w:t>
      </w:r>
      <w:r>
        <w:rPr>
          <w:rFonts w:hint="eastAsia" w:cs="Times New Roman"/>
          <w:color w:val="000000" w:themeColor="text1"/>
          <w:sz w:val="32"/>
          <w:szCs w:val="32"/>
          <w14:textFill>
            <w14:solidFill>
              <w14:schemeClr w14:val="tx1"/>
            </w14:solidFill>
          </w14:textFill>
        </w:rPr>
        <w:t>一</w:t>
      </w:r>
      <w:r>
        <w:rPr>
          <w:rFonts w:cs="Times New Roman"/>
          <w:color w:val="000000" w:themeColor="text1"/>
          <w:sz w:val="32"/>
          <w:szCs w:val="32"/>
          <w14:textFill>
            <w14:solidFill>
              <w14:schemeClr w14:val="tx1"/>
            </w14:solidFill>
          </w14:textFill>
        </w:rPr>
        <w:t>中，实施海陵学校改建行动，向东扩建两栋教学楼，腾退沿街教学楼，嫁接区内名校资源，助力办学质量提升。一宫，</w:t>
      </w:r>
      <w:r>
        <w:rPr>
          <w:rFonts w:hint="eastAsia" w:cs="Times New Roman"/>
          <w:color w:val="000000" w:themeColor="text1"/>
          <w:sz w:val="32"/>
          <w:szCs w:val="32"/>
          <w14:textFill>
            <w14:solidFill>
              <w14:schemeClr w14:val="tx1"/>
            </w14:solidFill>
          </w14:textFill>
        </w:rPr>
        <w:t>做</w:t>
      </w:r>
      <w:r>
        <w:rPr>
          <w:rFonts w:cs="Times New Roman"/>
          <w:color w:val="000000" w:themeColor="text1"/>
          <w:sz w:val="32"/>
          <w:szCs w:val="32"/>
          <w14:textFill>
            <w14:solidFill>
              <w14:schemeClr w14:val="tx1"/>
            </w14:solidFill>
          </w14:textFill>
        </w:rPr>
        <w:t>优少年宫本部，启动少年宫新址扬桥分部项目，进一步满足人民群众对优质教育资源的需求。二是新校培优行动。嫁接优质教育资源，切实办好城区中部教育集团新建校区。深化集团化办学管理改革，加强与优质高校资源深度合作，将“南师大泰州实验学校”建成城区北部新优质学校；探索集团化办学新模式，引导优质师资有序流动，打造“二附中新校区”一体化办学新样式。三是农校引强行动。聚焦便民化调整，加强学龄人口动态监测，注重前期调研，在城区北部打造一所规模适中、特色鲜明的九年一贯寄宿制学校。聚焦集团化帮扶，创新联盟型教育集团组成方式，构建互补发展、同类互助、以强带弱的多元发展格局。聚焦特色化办学，实施乡镇学校“特长班”计划。聚焦节约化管理，深入实施区管校聘改革，推动推动城区优秀校长、教师</w:t>
      </w:r>
      <w:r>
        <w:rPr>
          <w:rFonts w:hint="eastAsia" w:cs="Times New Roman"/>
          <w:color w:val="000000" w:themeColor="text1"/>
          <w:sz w:val="32"/>
          <w:szCs w:val="32"/>
          <w14:textFill>
            <w14:solidFill>
              <w14:schemeClr w14:val="tx1"/>
            </w14:solidFill>
          </w14:textFill>
        </w:rPr>
        <w:t>与</w:t>
      </w:r>
      <w:r>
        <w:rPr>
          <w:rFonts w:cs="Times New Roman"/>
          <w:color w:val="000000" w:themeColor="text1"/>
          <w:sz w:val="32"/>
          <w:szCs w:val="32"/>
          <w14:textFill>
            <w14:solidFill>
              <w14:schemeClr w14:val="tx1"/>
            </w14:solidFill>
          </w14:textFill>
        </w:rPr>
        <w:t>乡镇学校双向交流。</w:t>
      </w:r>
    </w:p>
    <w:p w14:paraId="5DDFF4B9">
      <w:pPr>
        <w:spacing w:line="560" w:lineRule="exact"/>
        <w:ind w:firstLine="643"/>
        <w:rPr>
          <w:rFonts w:cs="Times New Roman"/>
          <w:color w:val="000000" w:themeColor="text1"/>
          <w:sz w:val="32"/>
          <w:szCs w:val="32"/>
          <w14:textFill>
            <w14:solidFill>
              <w14:schemeClr w14:val="tx1"/>
            </w14:solidFill>
          </w14:textFill>
        </w:rPr>
      </w:pPr>
      <w:r>
        <w:rPr>
          <w:rFonts w:cs="Times New Roman"/>
          <w:b/>
          <w:color w:val="000000" w:themeColor="text1"/>
          <w:sz w:val="32"/>
          <w:szCs w:val="32"/>
          <w14:textFill>
            <w14:solidFill>
              <w14:schemeClr w14:val="tx1"/>
            </w14:solidFill>
          </w14:textFill>
        </w:rPr>
        <w:t>——“全人发展”培养全面发展的时代新人。</w:t>
      </w:r>
      <w:r>
        <w:rPr>
          <w:rFonts w:cs="Times New Roman"/>
          <w:color w:val="000000" w:themeColor="text1"/>
          <w:sz w:val="32"/>
          <w:szCs w:val="32"/>
          <w14:textFill>
            <w14:solidFill>
              <w14:schemeClr w14:val="tx1"/>
            </w14:solidFill>
          </w14:textFill>
        </w:rPr>
        <w:t>坚持五育并举，落实因材施教，创新育人机制，培育办学品牌，打造“主城教育”海陵样板，让海陵学子在全面发展、个性成长中成人成才。一是实施“立德铸魂育人行动”，组建中小学思政课一体化教研共同体，打造学段联通、学研融通、资源互通的思政教育体系。健全德育课程体系，搭建幼小初纵向贯通课程平台，推动课程德育与德育课程深度融合，打造一批思政育人特色学校。持续开展“书记、校长带头讲授思政课”活动。实施红色基因传承工程，打造一批“大思政课”教学实践基地。系统推进“行走的思政课”区域实践，推动思政课内涵式发展。二是实施学生体质强健计划，实施“运动处方”，构建“监测—干预—保障”科学体系。全面推进学校体育“2·15专项行动”，广泛开设各类校园体育倶乐部，健全“区—校”两级体育竞赛体系和选拔机制，常态化举办中小学阳光体育联赛，培育核心特色竞赛项目，以“体教融合”推动中小学体育工作高质量发展。三是实施美育浸润行动，开展高雅艺术、戏剧戏曲、中华传统优秀文化、泰州非遗进校园、艺术展演等活动，积极提供多样化、个性化的艺术选修课程，重点培育5-8个区级精品艺术社团。四是创新实施劳动教育，以“理解、体验、融合”为理念，以国家课程为基础，融合校本特色，构建基于学段适切性的“任务群”课程体系，拓展劳动教育空间，实现劳动教育全程渗透。五是加强科技教育，整体架构、落实区域小初一体化科学教育课程体系。深化校外培训市场供给侧结构性改革，鼓励高校和科技类非学科培训机构增加科学教育优质资源供给。拓展育人场景，将人工智能融入日常教学，通过独立设课、跨学科融合等多元形式搭建课程架构，与校园文化相结合营造浓厚的人工智能学习氛围，引导学生参加相关研学实践和交流活动。六是深入实施关爱中小学生生命健康“润心”行动，深入实施“润心到家”工程，依托AI赋能，健全心理健康立体预警网络，持续开展“千师访万家”活动，压实“全员导师制”工作责任。落实定期督查、重点检查和调度例会等工作制度，强化学生心理健康危机干预管理机制。七是实施中小学生习惯养成教育，以“凤城·悦读”为载体，全面推进师生阅读教育。健全完善辅导员和班主任分层赋能、多元发展、激励关爱机制，推动新时代海陵班主任高素质专业化发展。创新开展课后服务，严格落实第三方参与课后服务备案审批制度，提升科技、体育、劳动等内容的比重，进一步满足学生多元化学习需求。</w:t>
      </w:r>
    </w:p>
    <w:p w14:paraId="546BB6CF">
      <w:pPr>
        <w:spacing w:line="560" w:lineRule="exact"/>
        <w:ind w:firstLine="643"/>
        <w:rPr>
          <w:rFonts w:cs="Times New Roman"/>
          <w:color w:val="000000" w:themeColor="text1"/>
          <w:sz w:val="32"/>
          <w:szCs w:val="32"/>
          <w14:textFill>
            <w14:solidFill>
              <w14:schemeClr w14:val="tx1"/>
            </w14:solidFill>
          </w14:textFill>
        </w:rPr>
      </w:pPr>
      <w:r>
        <w:rPr>
          <w:rFonts w:cs="Times New Roman"/>
          <w:b/>
          <w:color w:val="000000" w:themeColor="text1"/>
          <w:sz w:val="32"/>
          <w:szCs w:val="32"/>
          <w14:textFill>
            <w14:solidFill>
              <w14:schemeClr w14:val="tx1"/>
            </w14:solidFill>
          </w14:textFill>
        </w:rPr>
        <w:t>——“全链</w:t>
      </w:r>
      <w:r>
        <w:rPr>
          <w:rFonts w:hint="eastAsia" w:cs="Times New Roman"/>
          <w:b/>
          <w:color w:val="000000" w:themeColor="text1"/>
          <w:sz w:val="32"/>
          <w:szCs w:val="32"/>
          <w14:textFill>
            <w14:solidFill>
              <w14:schemeClr w14:val="tx1"/>
            </w14:solidFill>
          </w14:textFill>
        </w:rPr>
        <w:t>优</w:t>
      </w:r>
      <w:r>
        <w:rPr>
          <w:rFonts w:cs="Times New Roman"/>
          <w:b/>
          <w:color w:val="000000" w:themeColor="text1"/>
          <w:sz w:val="32"/>
          <w:szCs w:val="32"/>
          <w14:textFill>
            <w14:solidFill>
              <w14:schemeClr w14:val="tx1"/>
            </w14:solidFill>
          </w14:textFill>
        </w:rPr>
        <w:t>质”推进教育质量稳步提升。</w:t>
      </w:r>
      <w:r>
        <w:rPr>
          <w:rFonts w:cs="Times New Roman"/>
          <w:color w:val="000000" w:themeColor="text1"/>
          <w:sz w:val="32"/>
          <w:szCs w:val="32"/>
          <w14:textFill>
            <w14:solidFill>
              <w14:schemeClr w14:val="tx1"/>
            </w14:solidFill>
          </w14:textFill>
        </w:rPr>
        <w:t>锚定教育教学质量奋斗目标，启动“乐学幸福堂”区域教学模式建设，提升课堂教学效率，优化校本作业建设，加强学业水平大数据分析，建立区域教学质量监测、分析评估与反馈机制，通过规范化教学视导服务、教学诊断分析，试点“AI助教”，实现区域教学质态的动态优化与精准管理，驱动教学质量系统性提升。实施“全阶优才”创新育人工程。加大拔尖创新人才培养力度，以“钱学森班”为依托，以构建基础贯通、拓展整合、研究赋能的课程体系为载体，不断优化“五四”制小初衔接办学机制，打通人才成长关键节点，探索学段衔接贯通培养的“海陵经验”。一是推动学前教育优质普惠发展。稳步增加公办幼儿园学位供，促进学前教育普及普惠安全优质发展。加强与海陵区“十五五”城市更新发展规划衔接，确保幼儿园布局与中心城市发展、人口集聚度相适应，兼顾“城乡一体化”。统筹做好学前教育布局和优化整合工作。深入推进课程游戏化建设，构建“幼托衔接、幼小协同”学段贯通机制，通过优化课程方案、强化师资赋能、完善研训机制，全面提升学前教育保育教育质量。深入推进省市幼小衔接园“校”结对试点工作。除乡镇中心园外，对生源不足10人的公办园，稳妥实施撤并或设立办学点。推动有条件的幼儿园面向2-3 岁幼儿开展托育服务，加强托育专题研训，提升托育服务品质。二是推动义务教育优质均衡发展。加强与优质高校资源深度合作，将“南师大泰州实验学校”建成城区北部新优质学校。探索集团化办学新模式，引导优质师资有序流动，打造“二附中新校区”一体化办学新样式，逐步缓解东风路校区大校额的办学困难。深入推进集团化办学，优化集团校格局，构建城区“名校”和薄弱学校结对联盟新机制，进一步激发联盟型教育集团办学活力。合理调整紧密型教育集团规模，探索实施“</w:t>
      </w:r>
      <w:r>
        <w:rPr>
          <w:rFonts w:hint="eastAsia" w:cs="Times New Roman"/>
          <w:color w:val="000000" w:themeColor="text1"/>
          <w:sz w:val="32"/>
          <w:szCs w:val="32"/>
          <w14:textFill>
            <w14:solidFill>
              <w14:schemeClr w14:val="tx1"/>
            </w14:solidFill>
          </w14:textFill>
        </w:rPr>
        <w:t>蝶</w:t>
      </w:r>
      <w:r>
        <w:rPr>
          <w:rFonts w:cs="Times New Roman"/>
          <w:color w:val="000000" w:themeColor="text1"/>
          <w:sz w:val="32"/>
          <w:szCs w:val="32"/>
          <w14:textFill>
            <w14:solidFill>
              <w14:schemeClr w14:val="tx1"/>
            </w14:solidFill>
          </w14:textFill>
        </w:rPr>
        <w:t>变”工程，推动规模较大、办学成熟的分校区成立新的独立法人校或集团核心校。三是推动社会教育创新协同发展。</w:t>
      </w:r>
      <w:r>
        <w:rPr>
          <w:rFonts w:cs="Times New Roman"/>
          <w:bCs/>
          <w:color w:val="000000" w:themeColor="text1"/>
          <w:sz w:val="32"/>
          <w:szCs w:val="32"/>
          <w14:textFill>
            <w14:solidFill>
              <w14:schemeClr w14:val="tx1"/>
            </w14:solidFill>
          </w14:textFill>
        </w:rPr>
        <w:t>组建政府、部门、学校、社区、家庭、社会资源单位等参与的“教联体”，</w:t>
      </w:r>
      <w:r>
        <w:rPr>
          <w:rFonts w:cs="Times New Roman"/>
          <w:color w:val="000000" w:themeColor="text1"/>
          <w:sz w:val="32"/>
          <w:szCs w:val="32"/>
          <w14:textFill>
            <w14:solidFill>
              <w14:schemeClr w14:val="tx1"/>
            </w14:solidFill>
          </w14:textFill>
        </w:rPr>
        <w:t>重视“一老一小”需求，建立健全社区教育办学网络，引导高等学校、职业学校、行业企业和其他社会力量共同参与社区教育，培育多元办学主体，提供多样化教育服务。巩固“双减”成效，规范校外培训分类监管，进一步完善规范治理、执法机制，持续提升非学科类校外培训机构审批率。深化全国学习型城市网络城市建设，创建</w:t>
      </w:r>
      <w:r>
        <w:rPr>
          <w:rFonts w:cs="Times New Roman"/>
          <w:bCs/>
          <w:color w:val="000000" w:themeColor="text1"/>
          <w:sz w:val="32"/>
          <w:szCs w:val="32"/>
          <w14:textFill>
            <w14:solidFill>
              <w14:schemeClr w14:val="tx1"/>
            </w14:solidFill>
          </w14:textFill>
        </w:rPr>
        <w:t>全国学习型城市网络城市</w:t>
      </w:r>
      <w:r>
        <w:rPr>
          <w:rFonts w:cs="Times New Roman"/>
          <w:color w:val="000000" w:themeColor="text1"/>
          <w:sz w:val="32"/>
          <w:szCs w:val="32"/>
          <w14:textFill>
            <w14:solidFill>
              <w14:schemeClr w14:val="tx1"/>
            </w14:solidFill>
          </w14:textFill>
        </w:rPr>
        <w:t>。以社区教育中心、老年大学为阵地，积极创建省级特色品牌项目，老年人社区教育活动参与率达30%以上。加强各类优质学习资源的推广应用，为市民提供智能可感、泛在多元的学习场景和环境。</w:t>
      </w:r>
    </w:p>
    <w:p w14:paraId="35648753">
      <w:pPr>
        <w:spacing w:line="560" w:lineRule="exact"/>
        <w:ind w:firstLine="643"/>
        <w:rPr>
          <w:rFonts w:cs="Times New Roman"/>
          <w:color w:val="000000" w:themeColor="text1"/>
          <w:sz w:val="32"/>
          <w:szCs w:val="32"/>
          <w14:textFill>
            <w14:solidFill>
              <w14:schemeClr w14:val="tx1"/>
            </w14:solidFill>
          </w14:textFill>
        </w:rPr>
      </w:pPr>
      <w:r>
        <w:rPr>
          <w:rFonts w:eastAsia="宋体" w:cs="Times New Roman"/>
          <w:b/>
          <w:color w:val="000000" w:themeColor="text1"/>
          <w:sz w:val="32"/>
          <w:szCs w:val="32"/>
          <w14:textFill>
            <w14:solidFill>
              <w14:schemeClr w14:val="tx1"/>
            </w14:solidFill>
          </w14:textFill>
        </w:rPr>
        <w:t>——</w:t>
      </w:r>
      <w:r>
        <w:rPr>
          <w:rFonts w:hint="eastAsia" w:ascii="方正仿宋_GBK" w:cs="Times New Roman"/>
          <w:b/>
          <w:color w:val="000000" w:themeColor="text1"/>
          <w:sz w:val="32"/>
          <w:szCs w:val="32"/>
          <w14:textFill>
            <w14:solidFill>
              <w14:schemeClr w14:val="tx1"/>
            </w14:solidFill>
          </w14:textFill>
        </w:rPr>
        <w:t>“全程优培”</w:t>
      </w:r>
      <w:r>
        <w:rPr>
          <w:rFonts w:cs="Times New Roman"/>
          <w:b/>
          <w:color w:val="000000" w:themeColor="text1"/>
          <w:sz w:val="32"/>
          <w:szCs w:val="32"/>
          <w14:textFill>
            <w14:solidFill>
              <w14:schemeClr w14:val="tx1"/>
            </w14:solidFill>
          </w14:textFill>
        </w:rPr>
        <w:t>建设高素质专业化教师队伍</w:t>
      </w:r>
      <w:r>
        <w:rPr>
          <w:rFonts w:cs="Times New Roman"/>
          <w:color w:val="000000" w:themeColor="text1"/>
          <w:sz w:val="32"/>
          <w:szCs w:val="32"/>
          <w14:textFill>
            <w14:solidFill>
              <w14:schemeClr w14:val="tx1"/>
            </w14:solidFill>
          </w14:textFill>
        </w:rPr>
        <w:t>。围绕落实立德树人根本任务，统筹思想政治、师德师风、业务能力培训，将思想政治和师德师风作为教师培训必修内容。积极弘扬践行教育家精神，持续推行“教师妈妈”经验做法，加大评选宣传先进教师典型事迹力度，引领教师精神成长，塑造海陵教育良好形象。深入开展师德巡访专项督查行动，推行新教师宣誓制度，实行师德考核负面清单制度，健全失信惩戒机制和交流退出机制。加强治理师德失范专项督导和责任督学挂牌督导工作，坚决从严查处教师师德失范行为。对新入职、骨干、名师、关键岗位四个类别，分别实施“启航计划”（新教师规范化培养）、“续航计划”（骨干教师高阶研修）、“领航计划”（卓越教师卓越引领）、“特需计划”（关键岗位专项赋能）等四个培育计划。加强教师队伍专业化建设，持续深化教师教育改革，深入实施“名师工程”“崇教优师”“银龄计划”，构建“中心—片—校”三级教研体系，推广“行动研究”范式，培育“校本研修示范基地”。搭建教师专业成长智慧平台，运用AI技术助力教师专业发展，智能分析教师发展画像，建立教师专业发展数字档案，精准定位研训群体，精准滴灌研训内容。充分依托名师工作室、乡村骨干教师培育站等平台，定向培养乡村学校“种子教师”，推进区域城乡师资一体化均衡发展。按照“总量不变</w:t>
      </w:r>
      <w:r>
        <w:rPr>
          <w:rFonts w:hint="eastAsia" w:cs="Times New Roman"/>
          <w:color w:val="000000" w:themeColor="text1"/>
          <w:sz w:val="32"/>
          <w:szCs w:val="32"/>
          <w14:textFill>
            <w14:solidFill>
              <w14:schemeClr w14:val="tx1"/>
            </w14:solidFill>
          </w14:textFill>
        </w:rPr>
        <w:t>，</w:t>
      </w:r>
      <w:r>
        <w:rPr>
          <w:rFonts w:cs="Times New Roman"/>
          <w:color w:val="000000" w:themeColor="text1"/>
          <w:sz w:val="32"/>
          <w:szCs w:val="32"/>
          <w14:textFill>
            <w14:solidFill>
              <w14:schemeClr w14:val="tx1"/>
            </w14:solidFill>
          </w14:textFill>
        </w:rPr>
        <w:t>结构优化”的指导思想，优化教师招聘工作，向音乐、美术、体育、劳动、科学、心理健康等学科倾斜，调优教师队伍结构。</w:t>
      </w:r>
      <w:r>
        <w:rPr>
          <w:rFonts w:cs="Times New Roman"/>
          <w:color w:val="000000" w:themeColor="text1"/>
          <w:kern w:val="0"/>
          <w:sz w:val="32"/>
          <w:szCs w:val="32"/>
          <w14:textFill>
            <w14:solidFill>
              <w14:schemeClr w14:val="tx1"/>
            </w14:solidFill>
          </w14:textFill>
        </w:rPr>
        <w:t>完善中小学校绩效考核办法、实施细则和激励分配机制，重点向农村缺编学校和一线教师倾斜。</w:t>
      </w:r>
    </w:p>
    <w:p w14:paraId="5B9462AA">
      <w:pPr>
        <w:spacing w:line="560" w:lineRule="exact"/>
        <w:ind w:firstLine="645" w:firstLineChars="0"/>
        <w:rPr>
          <w:rFonts w:cs="Times New Roman"/>
          <w:color w:val="000000" w:themeColor="text1"/>
          <w:sz w:val="32"/>
          <w:szCs w:val="32"/>
          <w14:textFill>
            <w14:solidFill>
              <w14:schemeClr w14:val="tx1"/>
            </w14:solidFill>
          </w14:textFill>
        </w:rPr>
      </w:pPr>
      <w:r>
        <w:rPr>
          <w:rFonts w:cs="Times New Roman"/>
          <w:b/>
          <w:color w:val="000000" w:themeColor="text1"/>
          <w:sz w:val="32"/>
          <w:szCs w:val="32"/>
          <w14:textFill>
            <w14:solidFill>
              <w14:schemeClr w14:val="tx1"/>
            </w14:solidFill>
          </w14:textFill>
        </w:rPr>
        <w:t>——“全</w:t>
      </w:r>
      <w:r>
        <w:rPr>
          <w:rFonts w:hint="eastAsia" w:cs="Times New Roman"/>
          <w:b/>
          <w:color w:val="000000" w:themeColor="text1"/>
          <w:sz w:val="32"/>
          <w:szCs w:val="32"/>
          <w14:textFill>
            <w14:solidFill>
              <w14:schemeClr w14:val="tx1"/>
            </w14:solidFill>
          </w14:textFill>
        </w:rPr>
        <w:t>维</w:t>
      </w:r>
      <w:r>
        <w:rPr>
          <w:rFonts w:cs="Times New Roman"/>
          <w:b/>
          <w:color w:val="000000" w:themeColor="text1"/>
          <w:sz w:val="32"/>
          <w:szCs w:val="32"/>
          <w14:textFill>
            <w14:solidFill>
              <w14:schemeClr w14:val="tx1"/>
            </w14:solidFill>
          </w14:textFill>
        </w:rPr>
        <w:t>护航”夯实教育高质量发展基础。</w:t>
      </w:r>
      <w:r>
        <w:rPr>
          <w:rFonts w:cs="Times New Roman"/>
          <w:color w:val="000000" w:themeColor="text1"/>
          <w:sz w:val="32"/>
          <w:szCs w:val="32"/>
          <w14:textFill>
            <w14:solidFill>
              <w14:schemeClr w14:val="tx1"/>
            </w14:solidFill>
          </w14:textFill>
        </w:rPr>
        <w:t>一是健全教育督导工作体系。建立“互联网+督导”平台，推动综合督导由“五年一次”</w:t>
      </w:r>
      <w:r>
        <w:rPr>
          <w:rFonts w:hint="eastAsia" w:cs="Times New Roman"/>
          <w:color w:val="000000" w:themeColor="text1"/>
          <w:sz w:val="32"/>
          <w:szCs w:val="32"/>
          <w14:textFill>
            <w14:solidFill>
              <w14:schemeClr w14:val="tx1"/>
            </w14:solidFill>
          </w14:textFill>
        </w:rPr>
        <w:t>综合</w:t>
      </w:r>
      <w:r>
        <w:rPr>
          <w:rFonts w:cs="Times New Roman"/>
          <w:color w:val="000000" w:themeColor="text1"/>
          <w:sz w:val="32"/>
          <w:szCs w:val="32"/>
          <w14:textFill>
            <w14:solidFill>
              <w14:schemeClr w14:val="tx1"/>
            </w14:solidFill>
          </w14:textFill>
        </w:rPr>
        <w:t>督导向“随时在线”常态化指导转变。针对中小学、幼儿园不同学段特点，完善差异化督导评价指标。围绕区域质量发展目标，完善重点工作督导监测机制，有序推进教学质量评价督导评估工作。围绕“十五五”时期教育重点政策、学校办学条件资源利用、国家课程方案和课程标准的执行等开展专项督导。强化整改责任落实，实行“一校一策”整改台账管理。调整优化责任督学队伍，加强专业培训，形成专兼结合、结构合理的督导人才梯队。建立督导人员绩效考核与激励机制，推动学校管理队伍专业化发展，依托“江苏省责任督学履职记实平台”，提高督导的时效性和科学性。二是构建</w:t>
      </w:r>
      <w:r>
        <w:rPr>
          <w:rFonts w:hint="eastAsia" w:cs="Times New Roman"/>
          <w:color w:val="000000" w:themeColor="text1"/>
          <w:sz w:val="32"/>
          <w:szCs w:val="32"/>
          <w14:textFill>
            <w14:solidFill>
              <w14:schemeClr w14:val="tx1"/>
            </w14:solidFill>
          </w14:textFill>
        </w:rPr>
        <w:t>高</w:t>
      </w:r>
      <w:r>
        <w:rPr>
          <w:rFonts w:cs="Times New Roman"/>
          <w:color w:val="000000" w:themeColor="text1"/>
          <w:sz w:val="32"/>
          <w:szCs w:val="32"/>
          <w14:textFill>
            <w14:solidFill>
              <w14:schemeClr w14:val="tx1"/>
            </w14:solidFill>
          </w14:textFill>
        </w:rPr>
        <w:t>品质学习环境。搭建海陵区统一的校舍管理平台，形成“一校一档”“一楼一档”，推动</w:t>
      </w:r>
      <w:r>
        <w:rPr>
          <w:rFonts w:hint="eastAsia" w:cs="Times New Roman"/>
          <w:color w:val="000000" w:themeColor="text1"/>
          <w:sz w:val="32"/>
          <w:szCs w:val="32"/>
          <w14:textFill>
            <w14:solidFill>
              <w14:schemeClr w14:val="tx1"/>
            </w14:solidFill>
          </w14:textFill>
        </w:rPr>
        <w:t>基建维修的“实时审批+全流程监管”强化资金监管，实现</w:t>
      </w:r>
      <w:r>
        <w:rPr>
          <w:rFonts w:cs="Times New Roman"/>
          <w:color w:val="000000" w:themeColor="text1"/>
          <w:sz w:val="32"/>
          <w:szCs w:val="32"/>
          <w14:textFill>
            <w14:solidFill>
              <w14:schemeClr w14:val="tx1"/>
            </w14:solidFill>
          </w14:textFill>
        </w:rPr>
        <w:t>校舍信息全生命周期管理。</w:t>
      </w:r>
      <w:r>
        <w:rPr>
          <w:rFonts w:cs="Times New Roman"/>
          <w:color w:val="000000" w:themeColor="text1"/>
          <w:kern w:val="0"/>
          <w:sz w:val="32"/>
          <w:szCs w:val="32"/>
          <w14:textFill>
            <w14:solidFill>
              <w14:schemeClr w14:val="tx1"/>
            </w14:solidFill>
          </w14:textFill>
        </w:rPr>
        <w:t>为全区中小学配备午休式课桌椅。根据教学需求与设备损耗情况，有序推进全区教学设备评估、淘汰与更新，保障教学设备适配教学要求。建成3-5所AI教育试点学校，</w:t>
      </w:r>
      <w:r>
        <w:rPr>
          <w:rFonts w:cs="Times New Roman"/>
          <w:color w:val="000000" w:themeColor="text1"/>
          <w:sz w:val="32"/>
          <w:szCs w:val="32"/>
          <w14:textFill>
            <w14:solidFill>
              <w14:schemeClr w14:val="tx1"/>
            </w14:solidFill>
          </w14:textFill>
        </w:rPr>
        <w:t>重点建设人工智能实验室、AI 教师教学行为分析室，推动人工智能与教育教学的深度融合。</w:t>
      </w:r>
      <w:r>
        <w:rPr>
          <w:rFonts w:cs="Times New Roman"/>
          <w:color w:val="000000" w:themeColor="text1"/>
          <w:kern w:val="0"/>
          <w:sz w:val="32"/>
          <w:szCs w:val="32"/>
          <w14:textFill>
            <w14:solidFill>
              <w14:schemeClr w14:val="tx1"/>
            </w14:solidFill>
          </w14:textFill>
        </w:rPr>
        <w:t>实施中小学教师办公室、专用教室、幼儿园教室护眼灯改造工程。</w:t>
      </w:r>
      <w:r>
        <w:rPr>
          <w:rFonts w:cs="Times New Roman"/>
          <w:color w:val="000000" w:themeColor="text1"/>
          <w:sz w:val="32"/>
          <w:szCs w:val="32"/>
          <w14:textFill>
            <w14:solidFill>
              <w14:schemeClr w14:val="tx1"/>
            </w14:solidFill>
          </w14:textFill>
        </w:rPr>
        <w:t>三是营造安全和谐的校园环境。完成所有学校智慧安防系统升级改造，推动大数据、人工智能技术在校园安全管理中的应用。全面推行“1530”安全教育模式，用好学校安全教育实践基地，通过虚拟现实（VR）等技术模拟安全事故场景，开设安全体验课程。建立校园安全隐患“日周月”排查治理工作机制，定期对教室、宿舍等人员密集场所和危化品保管室、施工现场等重点区域进行全面排查。修订完善综合预案、专项预案及演练方案，中小学每月、幼儿园每季度至少开展1次应急疏散演练，重点针对地震、火灾、暴力袭击等突发事件。健全学生欺凌治理委员会机制，建立校园欺凌事件快速响应制度，完善欺凌事件的预防和干预机制。严格执行食堂食品安全管理制度，建立食品安全追溯体系，推进“AI+明厨亮灶”工程，实现网上巡检和智能监督。与交通、交警部门合作，优化学校周边交通设施，完善交通安全标志和减速装置。</w:t>
      </w:r>
    </w:p>
    <w:p w14:paraId="31CADD22">
      <w:pPr>
        <w:spacing w:line="560" w:lineRule="exact"/>
        <w:ind w:firstLine="640"/>
        <w:rPr>
          <w:rFonts w:eastAsia="方正黑体_GBK" w:cs="Times New Roman"/>
          <w:color w:val="000000" w:themeColor="text1"/>
          <w:sz w:val="32"/>
          <w:szCs w:val="32"/>
          <w14:textFill>
            <w14:solidFill>
              <w14:schemeClr w14:val="tx1"/>
            </w14:solidFill>
          </w14:textFill>
        </w:rPr>
      </w:pPr>
      <w:r>
        <w:rPr>
          <w:rFonts w:eastAsia="方正黑体_GBK" w:cs="Times New Roman"/>
          <w:color w:val="000000" w:themeColor="text1"/>
          <w:sz w:val="32"/>
          <w:szCs w:val="32"/>
          <w14:textFill>
            <w14:solidFill>
              <w14:schemeClr w14:val="tx1"/>
            </w14:solidFill>
          </w14:textFill>
        </w:rPr>
        <w:t>五、保障机制</w:t>
      </w:r>
    </w:p>
    <w:p w14:paraId="1AEF3B92">
      <w:pPr>
        <w:spacing w:line="560" w:lineRule="exact"/>
        <w:ind w:firstLine="640"/>
        <w:rPr>
          <w:rFonts w:eastAsia="方正楷体_GBK" w:cs="Times New Roman"/>
          <w:color w:val="000000" w:themeColor="text1"/>
          <w:sz w:val="32"/>
          <w:szCs w:val="32"/>
          <w14:textFill>
            <w14:solidFill>
              <w14:schemeClr w14:val="tx1"/>
            </w14:solidFill>
          </w14:textFill>
        </w:rPr>
      </w:pPr>
      <w:r>
        <w:rPr>
          <w:rFonts w:eastAsia="方正楷体_GBK" w:cs="Times New Roman"/>
          <w:color w:val="000000" w:themeColor="text1"/>
          <w:sz w:val="32"/>
          <w:szCs w:val="32"/>
          <w14:textFill>
            <w14:solidFill>
              <w14:schemeClr w14:val="tx1"/>
            </w14:solidFill>
          </w14:textFill>
        </w:rPr>
        <w:t>（一）加强党对教育工作的全面领导</w:t>
      </w:r>
    </w:p>
    <w:p w14:paraId="286213AE">
      <w:pPr>
        <w:spacing w:line="560" w:lineRule="exact"/>
        <w:ind w:firstLine="64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完善党委统一领导、党政齐抓共管、部门各负其责的教育领导体制，全面推进各级各类学校党的建设，落实意识形态工作责任制。始终把教育摆在优先发展的战略地位，构建强有力的教育发展保障机制和协调高效的运行机制。进一步发挥区委教育工作领导小</w:t>
      </w:r>
      <w:r>
        <w:rPr>
          <w:rFonts w:hint="eastAsia" w:cs="Times New Roman"/>
          <w:color w:val="000000" w:themeColor="text1"/>
          <w:sz w:val="32"/>
          <w:szCs w:val="32"/>
          <w14:textFill>
            <w14:solidFill>
              <w14:schemeClr w14:val="tx1"/>
            </w14:solidFill>
          </w14:textFill>
        </w:rPr>
        <w:t>组</w:t>
      </w:r>
      <w:r>
        <w:rPr>
          <w:rFonts w:cs="Times New Roman"/>
          <w:color w:val="000000" w:themeColor="text1"/>
          <w:sz w:val="32"/>
          <w:szCs w:val="32"/>
          <w14:textFill>
            <w14:solidFill>
              <w14:schemeClr w14:val="tx1"/>
            </w14:solidFill>
          </w14:textFill>
        </w:rPr>
        <w:t xml:space="preserve">作用，统筹各方力量共同解决教育改革发展中的重大问题，努力营造有利于教育改革发展的良好生态环境。 </w:t>
      </w:r>
    </w:p>
    <w:p w14:paraId="230E4C7A">
      <w:pPr>
        <w:spacing w:line="560" w:lineRule="exact"/>
        <w:ind w:firstLine="640"/>
        <w:rPr>
          <w:rFonts w:eastAsia="方正楷体_GBK" w:cs="Times New Roman"/>
          <w:color w:val="000000" w:themeColor="text1"/>
          <w:sz w:val="32"/>
          <w:szCs w:val="32"/>
          <w14:textFill>
            <w14:solidFill>
              <w14:schemeClr w14:val="tx1"/>
            </w14:solidFill>
          </w14:textFill>
        </w:rPr>
      </w:pPr>
      <w:r>
        <w:rPr>
          <w:rFonts w:eastAsia="方正楷体_GBK" w:cs="Times New Roman"/>
          <w:color w:val="000000" w:themeColor="text1"/>
          <w:sz w:val="32"/>
          <w:szCs w:val="32"/>
          <w14:textFill>
            <w14:solidFill>
              <w14:schemeClr w14:val="tx1"/>
            </w14:solidFill>
          </w14:textFill>
        </w:rPr>
        <w:t>（二）确保教育经费稳步增长</w:t>
      </w:r>
    </w:p>
    <w:p w14:paraId="348F3616">
      <w:pPr>
        <w:spacing w:line="560" w:lineRule="exact"/>
        <w:ind w:firstLine="64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加大财政投入保障力度，确保“两个只增不减”。建立生均财政拨款稳定增长机制。完善政府投入为主、多渠道筹措经费的教育投入保障机制，进一步加大教育投入，优化整合资源，使教育投入总量与教育事业发展的实际需求相适应。落实各类教育资助政策，构建发展型资助育人体系。健全中小学教师与公务员工资收联动机制，保障教师各项待遇落实到位。优化教育经费使用结构，全面实施预算绩效管理，提高经费使用效益。发挥教育基金会作用，引导规范社会力量投入和捐赠教育。</w:t>
      </w:r>
    </w:p>
    <w:p w14:paraId="29258AC1">
      <w:pPr>
        <w:spacing w:line="560" w:lineRule="exact"/>
        <w:ind w:firstLine="640"/>
        <w:rPr>
          <w:rFonts w:eastAsia="方正楷体_GBK" w:cs="Times New Roman"/>
          <w:color w:val="000000" w:themeColor="text1"/>
          <w:sz w:val="32"/>
          <w:szCs w:val="32"/>
          <w14:textFill>
            <w14:solidFill>
              <w14:schemeClr w14:val="tx1"/>
            </w14:solidFill>
          </w14:textFill>
        </w:rPr>
      </w:pPr>
      <w:r>
        <w:rPr>
          <w:rFonts w:eastAsia="方正楷体_GBK" w:cs="Times New Roman"/>
          <w:color w:val="000000" w:themeColor="text1"/>
          <w:sz w:val="32"/>
          <w:szCs w:val="32"/>
          <w14:textFill>
            <w14:solidFill>
              <w14:schemeClr w14:val="tx1"/>
            </w14:solidFill>
          </w14:textFill>
        </w:rPr>
        <w:t>（三）深入推进依法治教</w:t>
      </w:r>
    </w:p>
    <w:p w14:paraId="5C3B9837">
      <w:pPr>
        <w:spacing w:line="560" w:lineRule="exact"/>
        <w:ind w:firstLine="640"/>
        <w:rPr>
          <w:rFonts w:cs="Times New Roman"/>
          <w:color w:val="000000" w:themeColor="text1"/>
          <w:sz w:val="32"/>
          <w:szCs w:val="32"/>
          <w14:textFill>
            <w14:solidFill>
              <w14:schemeClr w14:val="tx1"/>
            </w14:solidFill>
          </w14:textFill>
        </w:rPr>
      </w:pPr>
      <w:r>
        <w:rPr>
          <w:rFonts w:cs="Times New Roman"/>
          <w:color w:val="000000" w:themeColor="text1"/>
          <w:sz w:val="32"/>
          <w:szCs w:val="32"/>
          <w14:textFill>
            <w14:solidFill>
              <w14:schemeClr w14:val="tx1"/>
            </w14:solidFill>
          </w14:textFill>
        </w:rPr>
        <w:t>加强现代学校制度建设，健全学校章程实施保障机制，完善学校</w:t>
      </w:r>
      <w:r>
        <w:rPr>
          <w:rFonts w:hint="eastAsia" w:cs="Times New Roman"/>
          <w:color w:val="000000" w:themeColor="text1"/>
          <w:sz w:val="32"/>
          <w:szCs w:val="32"/>
          <w14:textFill>
            <w14:solidFill>
              <w14:schemeClr w14:val="tx1"/>
            </w14:solidFill>
          </w14:textFill>
        </w:rPr>
        <w:t>治理</w:t>
      </w:r>
      <w:r>
        <w:rPr>
          <w:rFonts w:cs="Times New Roman"/>
          <w:color w:val="000000" w:themeColor="text1"/>
          <w:sz w:val="32"/>
          <w:szCs w:val="32"/>
          <w14:textFill>
            <w14:solidFill>
              <w14:schemeClr w14:val="tx1"/>
            </w14:solidFill>
          </w14:textFill>
        </w:rPr>
        <w:t>机制。加强清廉学校建设，规范教育系统重点领域和关键环节管理，持续开展“校园餐”、</w:t>
      </w:r>
      <w:r>
        <w:rPr>
          <w:rFonts w:hint="eastAsia" w:cs="Times New Roman"/>
          <w:color w:val="000000" w:themeColor="text1"/>
          <w:sz w:val="32"/>
          <w:szCs w:val="32"/>
          <w14:textFill>
            <w14:solidFill>
              <w14:schemeClr w14:val="tx1"/>
            </w14:solidFill>
          </w14:textFill>
        </w:rPr>
        <w:t>招</w:t>
      </w:r>
      <w:r>
        <w:rPr>
          <w:rFonts w:cs="Times New Roman"/>
          <w:color w:val="000000" w:themeColor="text1"/>
          <w:sz w:val="32"/>
          <w:szCs w:val="32"/>
          <w14:textFill>
            <w14:solidFill>
              <w14:schemeClr w14:val="tx1"/>
            </w14:solidFill>
          </w14:textFill>
        </w:rPr>
        <w:t xml:space="preserve">标采购、中小学招生、教辅校服、巧立名目乱收费、学生研学实习等不当牟利问题的专项整治，推动常治长效。广泛开展“九五”普法宣传教育活动，推进师生知法守法用法。将法治教育内容融入社区、家庭，构建学校、社区、家庭“三位一体”的法治教育网络，增强在校师生的守法和护法意识、权利和义务意识。 </w:t>
      </w:r>
    </w:p>
    <w:p w14:paraId="2E8346B8">
      <w:pPr>
        <w:spacing w:line="560" w:lineRule="exact"/>
        <w:ind w:firstLine="640"/>
        <w:rPr>
          <w:rFonts w:cs="Times New Roman"/>
          <w:color w:val="000000" w:themeColor="text1"/>
          <w:sz w:val="32"/>
          <w:szCs w:val="32"/>
          <w14:textFill>
            <w14:solidFill>
              <w14:schemeClr w14:val="tx1"/>
            </w14:solidFill>
          </w14:textFill>
        </w:rPr>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74" w:bottom="1701" w:left="1588" w:header="851" w:footer="1020" w:gutter="0"/>
      <w:pgNumType w:fmt="numberInDash"/>
      <w:cols w:space="425" w:num="1"/>
      <w:docGrid w:type="lines" w:linePitch="59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880"/>
      </w:pPr>
      <w:r>
        <w:separator/>
      </w:r>
    </w:p>
  </w:endnote>
  <w:endnote w:type="continuationSeparator" w:id="1">
    <w:p>
      <w:pPr>
        <w:spacing w:line="240" w:lineRule="auto"/>
        <w:ind w:firstLine="8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1126050"/>
      <w:docPartObj>
        <w:docPartGallery w:val="AutoText"/>
      </w:docPartObj>
    </w:sdtPr>
    <w:sdtEndPr>
      <w:rPr>
        <w:rFonts w:ascii="宋体" w:hAnsi="宋体" w:eastAsia="宋体"/>
        <w:sz w:val="24"/>
        <w:szCs w:val="24"/>
      </w:rPr>
    </w:sdtEndPr>
    <w:sdtContent>
      <w:p w14:paraId="70C6E2AB">
        <w:pPr>
          <w:pStyle w:val="4"/>
          <w:ind w:firstLine="360"/>
          <w:jc w:val="center"/>
          <w:rPr>
            <w:rFonts w:ascii="宋体" w:hAnsi="宋体" w:eastAsia="宋体"/>
            <w:sz w:val="24"/>
            <w:szCs w:val="24"/>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A22A1">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84E59">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880"/>
      </w:pPr>
      <w:r>
        <w:separator/>
      </w:r>
    </w:p>
  </w:footnote>
  <w:footnote w:type="continuationSeparator" w:id="1">
    <w:p>
      <w:pPr>
        <w:spacing w:line="240" w:lineRule="auto"/>
        <w:ind w:firstLine="8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E4BBF">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0EE13">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D8713">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documentProtection w:enforcement="0"/>
  <w:defaultTabStop w:val="420"/>
  <w:drawingGridHorizontalSpacing w:val="220"/>
  <w:drawingGridVerticalSpacing w:val="299"/>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4FE"/>
    <w:rsid w:val="00017C12"/>
    <w:rsid w:val="0004553B"/>
    <w:rsid w:val="00053B2B"/>
    <w:rsid w:val="000619B2"/>
    <w:rsid w:val="00061E6C"/>
    <w:rsid w:val="00062EE6"/>
    <w:rsid w:val="0007432E"/>
    <w:rsid w:val="000843B1"/>
    <w:rsid w:val="00096B18"/>
    <w:rsid w:val="000A4C68"/>
    <w:rsid w:val="000A791A"/>
    <w:rsid w:val="000B1CE9"/>
    <w:rsid w:val="000E0458"/>
    <w:rsid w:val="000E0DC9"/>
    <w:rsid w:val="000F6B82"/>
    <w:rsid w:val="0010380A"/>
    <w:rsid w:val="00107354"/>
    <w:rsid w:val="00143F0C"/>
    <w:rsid w:val="00146652"/>
    <w:rsid w:val="001520C0"/>
    <w:rsid w:val="001606B8"/>
    <w:rsid w:val="00163E22"/>
    <w:rsid w:val="00172A68"/>
    <w:rsid w:val="00176AF4"/>
    <w:rsid w:val="001877B9"/>
    <w:rsid w:val="00191AA0"/>
    <w:rsid w:val="001966A8"/>
    <w:rsid w:val="001A5185"/>
    <w:rsid w:val="001A6E58"/>
    <w:rsid w:val="001B2E2D"/>
    <w:rsid w:val="001C0E51"/>
    <w:rsid w:val="001C5F56"/>
    <w:rsid w:val="001D0582"/>
    <w:rsid w:val="001D3E0C"/>
    <w:rsid w:val="001F77D9"/>
    <w:rsid w:val="00204F63"/>
    <w:rsid w:val="00206FF1"/>
    <w:rsid w:val="002126B3"/>
    <w:rsid w:val="00214565"/>
    <w:rsid w:val="00231B8E"/>
    <w:rsid w:val="00240471"/>
    <w:rsid w:val="00252201"/>
    <w:rsid w:val="002551B1"/>
    <w:rsid w:val="00261A7E"/>
    <w:rsid w:val="002660CF"/>
    <w:rsid w:val="002848FB"/>
    <w:rsid w:val="00285228"/>
    <w:rsid w:val="00291D63"/>
    <w:rsid w:val="002975A9"/>
    <w:rsid w:val="002A485A"/>
    <w:rsid w:val="002A4E1E"/>
    <w:rsid w:val="002A78E6"/>
    <w:rsid w:val="002B3179"/>
    <w:rsid w:val="002C3BA0"/>
    <w:rsid w:val="002F0F90"/>
    <w:rsid w:val="002F3A63"/>
    <w:rsid w:val="002F50DA"/>
    <w:rsid w:val="003050F0"/>
    <w:rsid w:val="0031726E"/>
    <w:rsid w:val="00323334"/>
    <w:rsid w:val="003314AF"/>
    <w:rsid w:val="00331A4B"/>
    <w:rsid w:val="00331AE1"/>
    <w:rsid w:val="00332161"/>
    <w:rsid w:val="003361BF"/>
    <w:rsid w:val="0034492B"/>
    <w:rsid w:val="00361803"/>
    <w:rsid w:val="003636F9"/>
    <w:rsid w:val="00365BA9"/>
    <w:rsid w:val="00373C49"/>
    <w:rsid w:val="00382E0E"/>
    <w:rsid w:val="00386CDF"/>
    <w:rsid w:val="003902B6"/>
    <w:rsid w:val="003A5B4A"/>
    <w:rsid w:val="003B4AE6"/>
    <w:rsid w:val="003C7956"/>
    <w:rsid w:val="003D676F"/>
    <w:rsid w:val="003E47A2"/>
    <w:rsid w:val="003E6741"/>
    <w:rsid w:val="003F0C15"/>
    <w:rsid w:val="004034FE"/>
    <w:rsid w:val="004666EB"/>
    <w:rsid w:val="004677E0"/>
    <w:rsid w:val="004A2E98"/>
    <w:rsid w:val="004A5A73"/>
    <w:rsid w:val="004A79CF"/>
    <w:rsid w:val="004B6159"/>
    <w:rsid w:val="004B7470"/>
    <w:rsid w:val="004C3A73"/>
    <w:rsid w:val="004C3B92"/>
    <w:rsid w:val="004D27FE"/>
    <w:rsid w:val="004E2A23"/>
    <w:rsid w:val="004E2D37"/>
    <w:rsid w:val="004F15E6"/>
    <w:rsid w:val="004F4F5C"/>
    <w:rsid w:val="004F7103"/>
    <w:rsid w:val="004F7262"/>
    <w:rsid w:val="00521108"/>
    <w:rsid w:val="005266B3"/>
    <w:rsid w:val="00526B5B"/>
    <w:rsid w:val="00527F27"/>
    <w:rsid w:val="00532677"/>
    <w:rsid w:val="00532777"/>
    <w:rsid w:val="00540BF0"/>
    <w:rsid w:val="0054431E"/>
    <w:rsid w:val="00553C6B"/>
    <w:rsid w:val="00560FD0"/>
    <w:rsid w:val="0056726F"/>
    <w:rsid w:val="00585F47"/>
    <w:rsid w:val="00587088"/>
    <w:rsid w:val="00594239"/>
    <w:rsid w:val="00594736"/>
    <w:rsid w:val="005A7FBD"/>
    <w:rsid w:val="005C14A2"/>
    <w:rsid w:val="005C4D22"/>
    <w:rsid w:val="005E09ED"/>
    <w:rsid w:val="005E60F3"/>
    <w:rsid w:val="00613812"/>
    <w:rsid w:val="006161EC"/>
    <w:rsid w:val="0061771D"/>
    <w:rsid w:val="006228AF"/>
    <w:rsid w:val="00627242"/>
    <w:rsid w:val="006379B6"/>
    <w:rsid w:val="00641072"/>
    <w:rsid w:val="00653B06"/>
    <w:rsid w:val="006926BB"/>
    <w:rsid w:val="00695783"/>
    <w:rsid w:val="006A21FE"/>
    <w:rsid w:val="006A6306"/>
    <w:rsid w:val="006B6FDD"/>
    <w:rsid w:val="006D7DF2"/>
    <w:rsid w:val="006E1989"/>
    <w:rsid w:val="006F6322"/>
    <w:rsid w:val="007250BC"/>
    <w:rsid w:val="00732339"/>
    <w:rsid w:val="00736294"/>
    <w:rsid w:val="007379D2"/>
    <w:rsid w:val="007618B0"/>
    <w:rsid w:val="00786100"/>
    <w:rsid w:val="00794394"/>
    <w:rsid w:val="00795E78"/>
    <w:rsid w:val="007B0093"/>
    <w:rsid w:val="007B40DC"/>
    <w:rsid w:val="007C274B"/>
    <w:rsid w:val="007D60E1"/>
    <w:rsid w:val="007D6265"/>
    <w:rsid w:val="007F6D7F"/>
    <w:rsid w:val="008026DC"/>
    <w:rsid w:val="00812ACE"/>
    <w:rsid w:val="00813EB1"/>
    <w:rsid w:val="0081606A"/>
    <w:rsid w:val="00821D86"/>
    <w:rsid w:val="008249C3"/>
    <w:rsid w:val="0082503E"/>
    <w:rsid w:val="00846A71"/>
    <w:rsid w:val="008472B8"/>
    <w:rsid w:val="008535F5"/>
    <w:rsid w:val="0086135D"/>
    <w:rsid w:val="0086617B"/>
    <w:rsid w:val="00866EA4"/>
    <w:rsid w:val="008712E6"/>
    <w:rsid w:val="00873522"/>
    <w:rsid w:val="0088285D"/>
    <w:rsid w:val="008A2033"/>
    <w:rsid w:val="008A2B43"/>
    <w:rsid w:val="008A2F03"/>
    <w:rsid w:val="008B75A1"/>
    <w:rsid w:val="008D3EC1"/>
    <w:rsid w:val="008F327B"/>
    <w:rsid w:val="008F3B57"/>
    <w:rsid w:val="008F6C41"/>
    <w:rsid w:val="009022D5"/>
    <w:rsid w:val="009071D7"/>
    <w:rsid w:val="009154EB"/>
    <w:rsid w:val="00926DDB"/>
    <w:rsid w:val="009275FE"/>
    <w:rsid w:val="009331E5"/>
    <w:rsid w:val="009363C0"/>
    <w:rsid w:val="00942F94"/>
    <w:rsid w:val="00953AFC"/>
    <w:rsid w:val="00964D44"/>
    <w:rsid w:val="00966CE1"/>
    <w:rsid w:val="00977C66"/>
    <w:rsid w:val="00983D53"/>
    <w:rsid w:val="0099020D"/>
    <w:rsid w:val="009A31EF"/>
    <w:rsid w:val="009A330A"/>
    <w:rsid w:val="009B4FF2"/>
    <w:rsid w:val="009B6026"/>
    <w:rsid w:val="009B72E9"/>
    <w:rsid w:val="009C0D78"/>
    <w:rsid w:val="009C56AD"/>
    <w:rsid w:val="009D01E7"/>
    <w:rsid w:val="00A10D8F"/>
    <w:rsid w:val="00A16F25"/>
    <w:rsid w:val="00A241A3"/>
    <w:rsid w:val="00A264A8"/>
    <w:rsid w:val="00A50C9B"/>
    <w:rsid w:val="00A550F0"/>
    <w:rsid w:val="00A559B6"/>
    <w:rsid w:val="00A57DB9"/>
    <w:rsid w:val="00A602A0"/>
    <w:rsid w:val="00A64BC2"/>
    <w:rsid w:val="00A67615"/>
    <w:rsid w:val="00A86C70"/>
    <w:rsid w:val="00A93EF0"/>
    <w:rsid w:val="00A94905"/>
    <w:rsid w:val="00AA2195"/>
    <w:rsid w:val="00AA43C3"/>
    <w:rsid w:val="00AB2479"/>
    <w:rsid w:val="00AC1E62"/>
    <w:rsid w:val="00AC52F6"/>
    <w:rsid w:val="00AD43CF"/>
    <w:rsid w:val="00AD650A"/>
    <w:rsid w:val="00AE328C"/>
    <w:rsid w:val="00AE5720"/>
    <w:rsid w:val="00B00111"/>
    <w:rsid w:val="00B03168"/>
    <w:rsid w:val="00B05A38"/>
    <w:rsid w:val="00B05C89"/>
    <w:rsid w:val="00B10D06"/>
    <w:rsid w:val="00B12E7C"/>
    <w:rsid w:val="00B139E3"/>
    <w:rsid w:val="00B2335B"/>
    <w:rsid w:val="00B35C5E"/>
    <w:rsid w:val="00B45EF2"/>
    <w:rsid w:val="00B5090C"/>
    <w:rsid w:val="00B60D6B"/>
    <w:rsid w:val="00B63FE5"/>
    <w:rsid w:val="00B7149B"/>
    <w:rsid w:val="00B77030"/>
    <w:rsid w:val="00B949FA"/>
    <w:rsid w:val="00BA48ED"/>
    <w:rsid w:val="00BC632B"/>
    <w:rsid w:val="00BC66F0"/>
    <w:rsid w:val="00BD581C"/>
    <w:rsid w:val="00BE277B"/>
    <w:rsid w:val="00BE73C2"/>
    <w:rsid w:val="00BF79B8"/>
    <w:rsid w:val="00C121A3"/>
    <w:rsid w:val="00C205AB"/>
    <w:rsid w:val="00C4000B"/>
    <w:rsid w:val="00C52446"/>
    <w:rsid w:val="00C66252"/>
    <w:rsid w:val="00C76973"/>
    <w:rsid w:val="00C7755A"/>
    <w:rsid w:val="00C77774"/>
    <w:rsid w:val="00C81678"/>
    <w:rsid w:val="00C83E5B"/>
    <w:rsid w:val="00C83F4E"/>
    <w:rsid w:val="00C91927"/>
    <w:rsid w:val="00C94420"/>
    <w:rsid w:val="00C9595F"/>
    <w:rsid w:val="00CD5457"/>
    <w:rsid w:val="00CE44F9"/>
    <w:rsid w:val="00CF4E00"/>
    <w:rsid w:val="00D04CB3"/>
    <w:rsid w:val="00D20C53"/>
    <w:rsid w:val="00D312FF"/>
    <w:rsid w:val="00D3228B"/>
    <w:rsid w:val="00D51304"/>
    <w:rsid w:val="00D65761"/>
    <w:rsid w:val="00D669FB"/>
    <w:rsid w:val="00D72764"/>
    <w:rsid w:val="00D76D54"/>
    <w:rsid w:val="00D82D4D"/>
    <w:rsid w:val="00D852D5"/>
    <w:rsid w:val="00D879C5"/>
    <w:rsid w:val="00D90711"/>
    <w:rsid w:val="00D90C4D"/>
    <w:rsid w:val="00D90E37"/>
    <w:rsid w:val="00D96938"/>
    <w:rsid w:val="00DB4306"/>
    <w:rsid w:val="00DB4C04"/>
    <w:rsid w:val="00DC26CE"/>
    <w:rsid w:val="00DD5EFC"/>
    <w:rsid w:val="00DE5059"/>
    <w:rsid w:val="00DE6495"/>
    <w:rsid w:val="00DF6E53"/>
    <w:rsid w:val="00E01B55"/>
    <w:rsid w:val="00E07A2E"/>
    <w:rsid w:val="00E11B8D"/>
    <w:rsid w:val="00E13992"/>
    <w:rsid w:val="00E30A4E"/>
    <w:rsid w:val="00E30EF7"/>
    <w:rsid w:val="00E4066C"/>
    <w:rsid w:val="00E460DF"/>
    <w:rsid w:val="00E46454"/>
    <w:rsid w:val="00E512B9"/>
    <w:rsid w:val="00E51733"/>
    <w:rsid w:val="00E71149"/>
    <w:rsid w:val="00E73AAB"/>
    <w:rsid w:val="00E74003"/>
    <w:rsid w:val="00E76059"/>
    <w:rsid w:val="00E760E6"/>
    <w:rsid w:val="00E93C3C"/>
    <w:rsid w:val="00EA1760"/>
    <w:rsid w:val="00EA223D"/>
    <w:rsid w:val="00EB30F0"/>
    <w:rsid w:val="00EC0075"/>
    <w:rsid w:val="00EC0A9B"/>
    <w:rsid w:val="00EC608E"/>
    <w:rsid w:val="00EC64E7"/>
    <w:rsid w:val="00ED2617"/>
    <w:rsid w:val="00ED6D1A"/>
    <w:rsid w:val="00EE2C2D"/>
    <w:rsid w:val="00EF57F3"/>
    <w:rsid w:val="00EF7599"/>
    <w:rsid w:val="00F068F9"/>
    <w:rsid w:val="00F13003"/>
    <w:rsid w:val="00F23F9E"/>
    <w:rsid w:val="00F26E96"/>
    <w:rsid w:val="00F329E2"/>
    <w:rsid w:val="00F40ABF"/>
    <w:rsid w:val="00F5010D"/>
    <w:rsid w:val="00F627EE"/>
    <w:rsid w:val="00F6761B"/>
    <w:rsid w:val="00F92A2C"/>
    <w:rsid w:val="00F94FA0"/>
    <w:rsid w:val="00F970A8"/>
    <w:rsid w:val="00FD0C47"/>
    <w:rsid w:val="00FD3605"/>
    <w:rsid w:val="76CA3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4" w:lineRule="exact"/>
      <w:ind w:firstLine="880" w:firstLineChars="200"/>
      <w:jc w:val="both"/>
    </w:pPr>
    <w:rPr>
      <w:rFonts w:ascii="Times New Roman" w:hAnsi="Times New Roman" w:eastAsia="方正仿宋_GBK" w:cs="方正黑体_GBK"/>
      <w:color w:val="000000"/>
      <w:kern w:val="2"/>
      <w:sz w:val="44"/>
      <w:szCs w:val="4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autoRedefine/>
    <w:qFormat/>
    <w:uiPriority w:val="0"/>
    <w:pPr>
      <w:spacing w:after="120"/>
    </w:pPr>
    <w:rPr>
      <w:rFonts w:ascii="方正仿宋_GBK" w:hAnsi="方正黑体_GBK"/>
      <w:color w:val="auto"/>
      <w:sz w:val="32"/>
      <w:szCs w:val="32"/>
    </w:rPr>
  </w:style>
  <w:style w:type="paragraph" w:styleId="3">
    <w:name w:val="Balloon Text"/>
    <w:basedOn w:val="1"/>
    <w:link w:val="13"/>
    <w:semiHidden/>
    <w:unhideWhenUsed/>
    <w:qFormat/>
    <w:uiPriority w:val="99"/>
    <w:pPr>
      <w:spacing w:line="240" w:lineRule="auto"/>
    </w:pPr>
    <w:rPr>
      <w:sz w:val="18"/>
      <w:szCs w:val="18"/>
    </w:rPr>
  </w:style>
  <w:style w:type="paragraph" w:styleId="4">
    <w:name w:val="footer"/>
    <w:basedOn w:val="1"/>
    <w:link w:val="12"/>
    <w:unhideWhenUsed/>
    <w:uiPriority w:val="99"/>
    <w:pPr>
      <w:tabs>
        <w:tab w:val="center" w:pos="4153"/>
        <w:tab w:val="right" w:pos="8306"/>
      </w:tabs>
      <w:snapToGrid w:val="0"/>
      <w:spacing w:line="240" w:lineRule="atLeast"/>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Title"/>
    <w:basedOn w:val="1"/>
    <w:next w:val="1"/>
    <w:link w:val="9"/>
    <w:qFormat/>
    <w:uiPriority w:val="0"/>
    <w:pPr>
      <w:spacing w:before="240" w:after="60"/>
      <w:jc w:val="center"/>
      <w:outlineLvl w:val="0"/>
    </w:pPr>
    <w:rPr>
      <w:rFonts w:eastAsia="宋体" w:asciiTheme="majorHAnsi" w:hAnsiTheme="majorHAnsi" w:cstheme="majorBidi"/>
      <w:b/>
      <w:bCs/>
      <w:color w:val="auto"/>
      <w:sz w:val="32"/>
      <w:szCs w:val="32"/>
    </w:rPr>
  </w:style>
  <w:style w:type="character" w:customStyle="1" w:styleId="9">
    <w:name w:val="标题 Char"/>
    <w:basedOn w:val="8"/>
    <w:link w:val="6"/>
    <w:qFormat/>
    <w:uiPriority w:val="0"/>
    <w:rPr>
      <w:rFonts w:eastAsia="宋体" w:asciiTheme="majorHAnsi" w:hAnsiTheme="majorHAnsi" w:cstheme="majorBidi"/>
      <w:b/>
      <w:bCs/>
      <w:kern w:val="2"/>
      <w:sz w:val="32"/>
      <w:szCs w:val="32"/>
    </w:rPr>
  </w:style>
  <w:style w:type="character" w:customStyle="1" w:styleId="10">
    <w:name w:val="正文文本 Char"/>
    <w:basedOn w:val="8"/>
    <w:link w:val="2"/>
    <w:uiPriority w:val="0"/>
    <w:rPr>
      <w:rFonts w:ascii="方正仿宋_GBK" w:hAnsi="方正黑体_GBK" w:eastAsia="方正仿宋_GBK" w:cs="方正黑体_GBK"/>
      <w:kern w:val="2"/>
      <w:sz w:val="32"/>
      <w:szCs w:val="32"/>
    </w:rPr>
  </w:style>
  <w:style w:type="character" w:customStyle="1" w:styleId="11">
    <w:name w:val="页眉 Char"/>
    <w:basedOn w:val="8"/>
    <w:link w:val="5"/>
    <w:qFormat/>
    <w:uiPriority w:val="99"/>
    <w:rPr>
      <w:rFonts w:ascii="Times New Roman" w:hAnsi="Times New Roman" w:eastAsia="方正仿宋_GBK" w:cs="方正黑体_GBK"/>
      <w:color w:val="000000"/>
      <w:kern w:val="2"/>
      <w:sz w:val="18"/>
      <w:szCs w:val="18"/>
    </w:rPr>
  </w:style>
  <w:style w:type="character" w:customStyle="1" w:styleId="12">
    <w:name w:val="页脚 Char"/>
    <w:basedOn w:val="8"/>
    <w:link w:val="4"/>
    <w:uiPriority w:val="99"/>
    <w:rPr>
      <w:rFonts w:ascii="Times New Roman" w:hAnsi="Times New Roman" w:eastAsia="方正仿宋_GBK" w:cs="方正黑体_GBK"/>
      <w:color w:val="000000"/>
      <w:kern w:val="2"/>
      <w:sz w:val="18"/>
      <w:szCs w:val="18"/>
    </w:rPr>
  </w:style>
  <w:style w:type="character" w:customStyle="1" w:styleId="13">
    <w:name w:val="批注框文本 Char"/>
    <w:basedOn w:val="8"/>
    <w:link w:val="3"/>
    <w:semiHidden/>
    <w:qFormat/>
    <w:uiPriority w:val="99"/>
    <w:rPr>
      <w:rFonts w:ascii="Times New Roman" w:hAnsi="Times New Roman" w:eastAsia="方正仿宋_GBK" w:cs="方正黑体_GBK"/>
      <w:color w:val="000000"/>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21</Pages>
  <Words>12407</Words>
  <Characters>12726</Characters>
  <Lines>90</Lines>
  <Paragraphs>25</Paragraphs>
  <TotalTime>2051</TotalTime>
  <ScaleCrop>false</ScaleCrop>
  <LinksUpToDate>false</LinksUpToDate>
  <CharactersWithSpaces>12747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2025-11-28T08:49:00Z</dcterms:created>
  <dc:creator>微软用户</dc:creator>
  <cp:lastModifiedBy>一蓑烟雨</cp:lastModifiedBy>
  <cp:lastPrinted>2025-12-29T09:34:00Z</cp:lastPrinted>
  <dcterms:modified xsi:type="dcterms:W3CDTF">2026-01-13T07:57:23Z</dcterms:modified>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D540A78554E54DBAA62AD3D86CFA0A46_13</vt:lpwstr>
  </property>
</Properties>
</file>