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B90E1">
      <w:pPr>
        <w:tabs>
          <w:tab w:val="left" w:pos="2240"/>
        </w:tabs>
        <w:jc w:val="center"/>
        <w:rPr>
          <w:rFonts w:hint="eastAsia" w:eastAsia="黑体"/>
          <w:b/>
          <w:sz w:val="36"/>
          <w:szCs w:val="36"/>
          <w:highlight w:val="none"/>
        </w:rPr>
      </w:pPr>
    </w:p>
    <w:p w14:paraId="2E098F5D">
      <w:pPr>
        <w:jc w:val="center"/>
        <w:rPr>
          <w:rFonts w:eastAsia="黑体"/>
          <w:b/>
          <w:sz w:val="36"/>
          <w:szCs w:val="36"/>
          <w:highlight w:val="none"/>
        </w:rPr>
      </w:pPr>
    </w:p>
    <w:p w14:paraId="0D933F4E">
      <w:pPr>
        <w:jc w:val="center"/>
        <w:rPr>
          <w:rFonts w:eastAsia="黑体"/>
          <w:b/>
          <w:sz w:val="36"/>
          <w:szCs w:val="36"/>
          <w:highlight w:val="none"/>
        </w:rPr>
      </w:pPr>
    </w:p>
    <w:p w14:paraId="26C8EC8F">
      <w:pPr>
        <w:jc w:val="center"/>
        <w:rPr>
          <w:rFonts w:eastAsia="黑体"/>
          <w:b/>
          <w:sz w:val="36"/>
          <w:szCs w:val="36"/>
          <w:highlight w:val="none"/>
        </w:rPr>
      </w:pPr>
    </w:p>
    <w:p w14:paraId="412144A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华文中宋" w:hAnsi="华文中宋" w:eastAsia="华文中宋" w:cs="华文中宋"/>
          <w:b/>
          <w:sz w:val="52"/>
          <w:szCs w:val="52"/>
          <w:highlight w:val="none"/>
          <w:lang w:val="en-US" w:eastAsia="zh-CN"/>
        </w:rPr>
      </w:pPr>
      <w:r>
        <w:rPr>
          <w:rFonts w:hint="eastAsia" w:ascii="华文中宋" w:hAnsi="华文中宋" w:eastAsia="华文中宋" w:cs="华文中宋"/>
          <w:b/>
          <w:sz w:val="52"/>
          <w:szCs w:val="52"/>
          <w:highlight w:val="none"/>
          <w:lang w:val="en-US" w:eastAsia="zh-CN"/>
        </w:rPr>
        <w:t>泰州市海陵区“十五五”农业农村</w:t>
      </w:r>
    </w:p>
    <w:p w14:paraId="1D372CD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eastAsia="黑体"/>
          <w:b/>
          <w:sz w:val="44"/>
          <w:szCs w:val="44"/>
          <w:highlight w:val="none"/>
        </w:rPr>
      </w:pPr>
      <w:r>
        <w:rPr>
          <w:rFonts w:hint="eastAsia" w:ascii="华文中宋" w:hAnsi="华文中宋" w:eastAsia="华文中宋" w:cs="华文中宋"/>
          <w:b/>
          <w:sz w:val="52"/>
          <w:szCs w:val="52"/>
          <w:highlight w:val="none"/>
          <w:lang w:val="en-US" w:eastAsia="zh-CN"/>
        </w:rPr>
        <w:t>发展规划（征求意见稿</w:t>
      </w:r>
      <w:bookmarkStart w:id="132" w:name="_GoBack"/>
      <w:bookmarkEnd w:id="132"/>
      <w:r>
        <w:rPr>
          <w:rFonts w:hint="eastAsia" w:ascii="华文中宋" w:hAnsi="华文中宋" w:eastAsia="华文中宋" w:cs="华文中宋"/>
          <w:b/>
          <w:sz w:val="52"/>
          <w:szCs w:val="52"/>
          <w:highlight w:val="none"/>
          <w:lang w:val="en-US" w:eastAsia="zh-CN"/>
        </w:rPr>
        <w:t>）</w:t>
      </w:r>
    </w:p>
    <w:p w14:paraId="1FB909FC">
      <w:pPr>
        <w:pStyle w:val="13"/>
        <w:ind w:firstLine="210"/>
        <w:rPr>
          <w:rFonts w:hint="eastAsia"/>
          <w:highlight w:val="none"/>
        </w:rPr>
      </w:pPr>
    </w:p>
    <w:p w14:paraId="5BC90D08">
      <w:pPr>
        <w:ind w:left="0" w:leftChars="0" w:firstLine="0" w:firstLineChars="0"/>
        <w:jc w:val="both"/>
        <w:rPr>
          <w:rFonts w:eastAsia="黑体"/>
          <w:b/>
          <w:sz w:val="44"/>
          <w:szCs w:val="44"/>
          <w:highlight w:val="none"/>
        </w:rPr>
      </w:pPr>
    </w:p>
    <w:p w14:paraId="0C0C29D7">
      <w:pPr>
        <w:jc w:val="center"/>
        <w:rPr>
          <w:rFonts w:eastAsia="黑体"/>
          <w:b/>
          <w:sz w:val="44"/>
          <w:szCs w:val="44"/>
          <w:highlight w:val="none"/>
        </w:rPr>
      </w:pPr>
    </w:p>
    <w:p w14:paraId="561ED82B">
      <w:pPr>
        <w:jc w:val="center"/>
        <w:rPr>
          <w:rFonts w:eastAsia="黑体"/>
          <w:b/>
          <w:sz w:val="44"/>
          <w:szCs w:val="44"/>
          <w:highlight w:val="none"/>
        </w:rPr>
      </w:pPr>
    </w:p>
    <w:p w14:paraId="749923A5">
      <w:pPr>
        <w:jc w:val="center"/>
        <w:rPr>
          <w:rFonts w:eastAsia="黑体"/>
          <w:b/>
          <w:sz w:val="44"/>
          <w:szCs w:val="44"/>
          <w:highlight w:val="none"/>
        </w:rPr>
      </w:pPr>
    </w:p>
    <w:p w14:paraId="37EC5162">
      <w:pPr>
        <w:jc w:val="center"/>
        <w:rPr>
          <w:rFonts w:eastAsia="黑体"/>
          <w:b/>
          <w:sz w:val="44"/>
          <w:szCs w:val="44"/>
          <w:highlight w:val="none"/>
        </w:rPr>
      </w:pPr>
    </w:p>
    <w:p w14:paraId="3902A6CD">
      <w:pPr>
        <w:jc w:val="center"/>
        <w:rPr>
          <w:rFonts w:eastAsia="黑体"/>
          <w:b/>
          <w:sz w:val="44"/>
          <w:szCs w:val="44"/>
          <w:highlight w:val="none"/>
        </w:rPr>
      </w:pPr>
    </w:p>
    <w:p w14:paraId="77615DDF">
      <w:pPr>
        <w:jc w:val="center"/>
        <w:rPr>
          <w:rFonts w:eastAsia="黑体"/>
          <w:b/>
          <w:sz w:val="44"/>
          <w:szCs w:val="44"/>
          <w:highlight w:val="none"/>
        </w:rPr>
      </w:pPr>
    </w:p>
    <w:p w14:paraId="19A28996">
      <w:pPr>
        <w:pStyle w:val="7"/>
        <w:rPr>
          <w:highlight w:val="none"/>
        </w:rPr>
      </w:pPr>
    </w:p>
    <w:p w14:paraId="4780DFBD">
      <w:pPr>
        <w:jc w:val="center"/>
        <w:rPr>
          <w:rFonts w:eastAsia="华文中宋"/>
          <w:bCs/>
          <w:sz w:val="28"/>
          <w:szCs w:val="28"/>
          <w:highlight w:val="none"/>
        </w:rPr>
      </w:pPr>
    </w:p>
    <w:p w14:paraId="663E9AE1">
      <w:pPr>
        <w:ind w:left="0" w:leftChars="0" w:firstLine="0" w:firstLineChars="0"/>
        <w:jc w:val="center"/>
        <w:rPr>
          <w:rFonts w:eastAsia="华文中宋"/>
          <w:bCs/>
          <w:sz w:val="30"/>
          <w:szCs w:val="30"/>
          <w:highlight w:val="none"/>
        </w:rPr>
      </w:pPr>
      <w:r>
        <w:rPr>
          <w:rFonts w:eastAsia="华文中宋"/>
          <w:bCs/>
          <w:sz w:val="30"/>
          <w:szCs w:val="30"/>
          <w:highlight w:val="none"/>
        </w:rPr>
        <w:t>南京农业大学规划设计研究院</w:t>
      </w:r>
    </w:p>
    <w:p w14:paraId="590E9610">
      <w:pPr>
        <w:ind w:left="0" w:leftChars="0" w:firstLine="0" w:firstLineChars="0"/>
        <w:jc w:val="center"/>
        <w:rPr>
          <w:rFonts w:eastAsia="华文中宋"/>
          <w:bCs/>
          <w:sz w:val="30"/>
          <w:szCs w:val="30"/>
          <w:highlight w:val="none"/>
        </w:rPr>
      </w:pPr>
      <w:r>
        <w:rPr>
          <w:rFonts w:hint="eastAsia" w:eastAsia="华文中宋"/>
          <w:bCs/>
          <w:sz w:val="30"/>
          <w:szCs w:val="30"/>
          <w:highlight w:val="none"/>
        </w:rPr>
        <w:t>二〇二</w:t>
      </w:r>
      <w:r>
        <w:rPr>
          <w:rFonts w:hint="eastAsia" w:eastAsia="华文中宋"/>
          <w:bCs/>
          <w:sz w:val="30"/>
          <w:szCs w:val="30"/>
          <w:highlight w:val="none"/>
          <w:lang w:val="en-US" w:eastAsia="zh-CN"/>
        </w:rPr>
        <w:t>六</w:t>
      </w:r>
      <w:r>
        <w:rPr>
          <w:rFonts w:eastAsia="华文中宋"/>
          <w:bCs/>
          <w:sz w:val="30"/>
          <w:szCs w:val="30"/>
          <w:highlight w:val="none"/>
        </w:rPr>
        <w:t>年</w:t>
      </w:r>
      <w:r>
        <w:rPr>
          <w:rFonts w:hint="eastAsia" w:eastAsia="华文中宋"/>
          <w:bCs/>
          <w:sz w:val="30"/>
          <w:szCs w:val="30"/>
          <w:highlight w:val="none"/>
        </w:rPr>
        <w:t xml:space="preserve"> </w:t>
      </w:r>
      <w:r>
        <w:rPr>
          <w:rFonts w:hint="eastAsia" w:eastAsia="华文中宋"/>
          <w:bCs/>
          <w:sz w:val="30"/>
          <w:szCs w:val="30"/>
          <w:highlight w:val="none"/>
          <w:lang w:val="en-US" w:eastAsia="zh-CN"/>
        </w:rPr>
        <w:t>九</w:t>
      </w:r>
      <w:r>
        <w:rPr>
          <w:rFonts w:hint="eastAsia" w:eastAsia="华文中宋"/>
          <w:bCs/>
          <w:sz w:val="30"/>
          <w:szCs w:val="30"/>
          <w:highlight w:val="none"/>
        </w:rPr>
        <w:t>月</w:t>
      </w:r>
    </w:p>
    <w:p w14:paraId="4C41BC16">
      <w:pPr>
        <w:spacing w:line="240" w:lineRule="auto"/>
        <w:jc w:val="center"/>
        <w:rPr>
          <w:rFonts w:eastAsia="华文中宋"/>
          <w:bCs/>
          <w:sz w:val="28"/>
          <w:szCs w:val="28"/>
          <w:highlight w:val="none"/>
        </w:rPr>
        <w:sectPr>
          <w:pgSz w:w="11906" w:h="16838"/>
          <w:pgMar w:top="1440" w:right="1800" w:bottom="1440" w:left="1800" w:header="567" w:footer="992" w:gutter="0"/>
          <w:pgNumType w:fmt="upperRoman" w:start="1"/>
          <w:cols w:space="720" w:num="1"/>
          <w:docGrid w:type="lines" w:linePitch="312" w:charSpace="0"/>
        </w:sectPr>
      </w:pPr>
    </w:p>
    <w:p w14:paraId="55A290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华文中宋"/>
          <w:b/>
          <w:sz w:val="36"/>
          <w:szCs w:val="36"/>
          <w:highlight w:val="none"/>
        </w:rPr>
      </w:pPr>
      <w:r>
        <w:rPr>
          <w:rFonts w:hint="eastAsia" w:eastAsia="华文中宋"/>
          <w:b/>
          <w:sz w:val="36"/>
          <w:szCs w:val="36"/>
          <w:highlight w:val="none"/>
        </w:rPr>
        <w:t>前    言</w:t>
      </w:r>
    </w:p>
    <w:p w14:paraId="57CC4F28">
      <w:pPr>
        <w:bidi w:val="0"/>
      </w:pPr>
    </w:p>
    <w:p w14:paraId="47F98000">
      <w:pPr>
        <w:spacing w:line="240" w:lineRule="auto"/>
        <w:ind w:firstLine="560"/>
        <w:rPr>
          <w:rFonts w:hint="eastAsia" w:eastAsia="仿宋"/>
          <w:color w:val="FF0000"/>
          <w:sz w:val="32"/>
          <w:szCs w:val="32"/>
          <w:highlight w:val="none"/>
        </w:rPr>
      </w:pPr>
      <w:r>
        <w:rPr>
          <w:rFonts w:hint="eastAsia"/>
          <w:color w:val="auto"/>
          <w:sz w:val="32"/>
          <w:szCs w:val="32"/>
          <w:highlight w:val="none"/>
          <w:lang w:eastAsia="zh-CN"/>
        </w:rPr>
        <w:t>“</w:t>
      </w:r>
      <w:r>
        <w:rPr>
          <w:rFonts w:hint="eastAsia" w:eastAsia="仿宋"/>
          <w:color w:val="auto"/>
          <w:sz w:val="32"/>
          <w:szCs w:val="32"/>
          <w:highlight w:val="none"/>
        </w:rPr>
        <w:t>十</w:t>
      </w:r>
      <w:r>
        <w:rPr>
          <w:rFonts w:hint="eastAsia" w:eastAsia="仿宋"/>
          <w:color w:val="auto"/>
          <w:sz w:val="32"/>
          <w:szCs w:val="32"/>
          <w:highlight w:val="none"/>
          <w:lang w:val="en-US" w:eastAsia="zh-CN"/>
        </w:rPr>
        <w:t>五</w:t>
      </w:r>
      <w:r>
        <w:rPr>
          <w:rFonts w:hint="eastAsia" w:eastAsia="仿宋"/>
          <w:color w:val="auto"/>
          <w:sz w:val="32"/>
          <w:szCs w:val="32"/>
          <w:highlight w:val="none"/>
        </w:rPr>
        <w:t>五</w:t>
      </w:r>
      <w:r>
        <w:rPr>
          <w:rFonts w:hint="eastAsia"/>
          <w:color w:val="auto"/>
          <w:sz w:val="32"/>
          <w:szCs w:val="32"/>
          <w:highlight w:val="none"/>
          <w:lang w:eastAsia="zh-CN"/>
        </w:rPr>
        <w:t>”</w:t>
      </w:r>
      <w:r>
        <w:rPr>
          <w:rFonts w:hint="eastAsia" w:eastAsia="仿宋"/>
          <w:color w:val="auto"/>
          <w:sz w:val="32"/>
          <w:szCs w:val="32"/>
          <w:highlight w:val="none"/>
        </w:rPr>
        <w:t>时期是我国全面建设社会主义现代化国家、向第二个百年奋斗目标迈进的关键五年，</w:t>
      </w:r>
      <w:r>
        <w:rPr>
          <w:rFonts w:hint="eastAsia"/>
          <w:color w:val="auto"/>
          <w:sz w:val="32"/>
          <w:szCs w:val="32"/>
          <w:highlight w:val="none"/>
          <w:lang w:val="en-US" w:eastAsia="zh-CN"/>
        </w:rPr>
        <w:t>也是海陵区扎实推进中国式现代化新实践</w:t>
      </w:r>
      <w:r>
        <w:rPr>
          <w:rFonts w:hint="eastAsia" w:eastAsia="仿宋"/>
          <w:color w:val="auto"/>
          <w:sz w:val="32"/>
          <w:szCs w:val="32"/>
          <w:highlight w:val="none"/>
        </w:rPr>
        <w:t>，</w:t>
      </w:r>
      <w:r>
        <w:rPr>
          <w:rFonts w:hint="eastAsia"/>
          <w:color w:val="auto"/>
          <w:sz w:val="32"/>
          <w:szCs w:val="32"/>
          <w:highlight w:val="none"/>
          <w:lang w:val="en-US" w:eastAsia="zh-CN"/>
        </w:rPr>
        <w:t>奋力</w:t>
      </w:r>
      <w:r>
        <w:rPr>
          <w:rFonts w:hint="eastAsia" w:eastAsia="仿宋"/>
          <w:color w:val="auto"/>
          <w:sz w:val="32"/>
          <w:szCs w:val="32"/>
          <w:highlight w:val="none"/>
          <w:lang w:val="en-US" w:eastAsia="zh-CN"/>
        </w:rPr>
        <w:t>冲击“千亿主城”、打造“幸福标杆”</w:t>
      </w:r>
      <w:r>
        <w:rPr>
          <w:rFonts w:hint="eastAsia"/>
          <w:color w:val="auto"/>
          <w:sz w:val="32"/>
          <w:szCs w:val="32"/>
          <w:highlight w:val="none"/>
          <w:lang w:val="en-US" w:eastAsia="zh-CN"/>
        </w:rPr>
        <w:t>，</w:t>
      </w:r>
      <w:r>
        <w:rPr>
          <w:rFonts w:hint="eastAsia" w:eastAsia="仿宋"/>
          <w:color w:val="auto"/>
          <w:sz w:val="32"/>
          <w:szCs w:val="32"/>
          <w:highlight w:val="none"/>
          <w:lang w:val="en-US" w:eastAsia="zh-CN"/>
        </w:rPr>
        <w:t>高水平</w:t>
      </w:r>
      <w:r>
        <w:rPr>
          <w:rFonts w:hint="eastAsia" w:eastAsia="仿宋"/>
          <w:color w:val="auto"/>
          <w:sz w:val="32"/>
          <w:szCs w:val="32"/>
          <w:highlight w:val="none"/>
        </w:rPr>
        <w:t>建设</w:t>
      </w:r>
      <w:r>
        <w:rPr>
          <w:rFonts w:hint="eastAsia" w:eastAsia="仿宋"/>
          <w:color w:val="auto"/>
          <w:sz w:val="32"/>
          <w:szCs w:val="32"/>
          <w:highlight w:val="none"/>
          <w:lang w:val="en-US" w:eastAsia="zh-CN"/>
        </w:rPr>
        <w:t>农业</w:t>
      </w:r>
      <w:r>
        <w:rPr>
          <w:rFonts w:hint="eastAsia"/>
          <w:color w:val="auto"/>
          <w:sz w:val="32"/>
          <w:szCs w:val="32"/>
          <w:highlight w:val="none"/>
          <w:lang w:val="en-US" w:eastAsia="zh-CN"/>
        </w:rPr>
        <w:t>强区的</w:t>
      </w:r>
      <w:r>
        <w:rPr>
          <w:rFonts w:hint="eastAsia" w:eastAsia="仿宋"/>
          <w:color w:val="auto"/>
          <w:sz w:val="32"/>
          <w:szCs w:val="32"/>
          <w:highlight w:val="none"/>
        </w:rPr>
        <w:t>关键阶段。实施乡村振兴战略、加快农业农村现代化，是以习近平同志为核心的党中央着眼全局作出的重大决策部署，</w:t>
      </w:r>
      <w:r>
        <w:rPr>
          <w:rFonts w:hint="eastAsia" w:eastAsia="仿宋"/>
          <w:sz w:val="32"/>
          <w:szCs w:val="32"/>
          <w:highlight w:val="none"/>
        </w:rPr>
        <w:t>是实现社会主义现代化的重大历史任务，是广大农民的</w:t>
      </w:r>
      <w:r>
        <w:rPr>
          <w:rFonts w:hint="eastAsia" w:eastAsia="仿宋"/>
          <w:sz w:val="32"/>
          <w:szCs w:val="32"/>
          <w:highlight w:val="none"/>
          <w:lang w:eastAsia="zh-CN"/>
        </w:rPr>
        <w:t>殷切</w:t>
      </w:r>
      <w:r>
        <w:rPr>
          <w:rFonts w:hint="eastAsia" w:eastAsia="仿宋"/>
          <w:sz w:val="32"/>
          <w:szCs w:val="32"/>
          <w:highlight w:val="none"/>
        </w:rPr>
        <w:t>期盼。</w:t>
      </w:r>
      <w:r>
        <w:rPr>
          <w:rFonts w:hint="eastAsia"/>
          <w:sz w:val="32"/>
          <w:szCs w:val="32"/>
          <w:highlight w:val="none"/>
          <w:lang w:val="en-US" w:eastAsia="zh-CN"/>
        </w:rPr>
        <w:t>依据区</w:t>
      </w:r>
      <w:r>
        <w:rPr>
          <w:rFonts w:hint="eastAsia" w:eastAsia="仿宋"/>
          <w:sz w:val="32"/>
          <w:szCs w:val="32"/>
          <w:highlight w:val="none"/>
        </w:rPr>
        <w:t>委、</w:t>
      </w:r>
      <w:r>
        <w:rPr>
          <w:rFonts w:hint="eastAsia"/>
          <w:sz w:val="32"/>
          <w:szCs w:val="32"/>
          <w:highlight w:val="none"/>
          <w:lang w:val="en-US" w:eastAsia="zh-CN"/>
        </w:rPr>
        <w:t>区</w:t>
      </w:r>
      <w:r>
        <w:rPr>
          <w:rFonts w:hint="eastAsia" w:eastAsia="仿宋"/>
          <w:sz w:val="32"/>
          <w:szCs w:val="32"/>
          <w:highlight w:val="none"/>
        </w:rPr>
        <w:t>政府关于编制</w:t>
      </w:r>
      <w:r>
        <w:rPr>
          <w:rFonts w:hint="eastAsia"/>
          <w:sz w:val="32"/>
          <w:szCs w:val="32"/>
          <w:highlight w:val="none"/>
          <w:lang w:eastAsia="zh-CN"/>
        </w:rPr>
        <w:t>“</w:t>
      </w:r>
      <w:r>
        <w:rPr>
          <w:rFonts w:hint="eastAsia" w:eastAsia="仿宋"/>
          <w:sz w:val="32"/>
          <w:szCs w:val="32"/>
          <w:highlight w:val="none"/>
        </w:rPr>
        <w:t>十</w:t>
      </w:r>
      <w:r>
        <w:rPr>
          <w:rFonts w:hint="eastAsia" w:eastAsia="仿宋"/>
          <w:sz w:val="32"/>
          <w:szCs w:val="32"/>
          <w:highlight w:val="none"/>
          <w:lang w:eastAsia="zh-CN"/>
        </w:rPr>
        <w:t>五</w:t>
      </w:r>
      <w:r>
        <w:rPr>
          <w:rFonts w:hint="eastAsia" w:eastAsia="仿宋"/>
          <w:sz w:val="32"/>
          <w:szCs w:val="32"/>
          <w:highlight w:val="none"/>
        </w:rPr>
        <w:t>五</w:t>
      </w:r>
      <w:r>
        <w:rPr>
          <w:rFonts w:hint="eastAsia"/>
          <w:sz w:val="32"/>
          <w:szCs w:val="32"/>
          <w:highlight w:val="none"/>
          <w:lang w:eastAsia="zh-CN"/>
        </w:rPr>
        <w:t>”</w:t>
      </w:r>
      <w:r>
        <w:rPr>
          <w:rFonts w:hint="eastAsia" w:eastAsia="仿宋"/>
          <w:sz w:val="32"/>
          <w:szCs w:val="32"/>
          <w:highlight w:val="none"/>
        </w:rPr>
        <w:t>规划的总体</w:t>
      </w:r>
      <w:r>
        <w:rPr>
          <w:rFonts w:hint="eastAsia"/>
          <w:sz w:val="32"/>
          <w:szCs w:val="32"/>
          <w:highlight w:val="none"/>
          <w:lang w:val="en-US" w:eastAsia="zh-CN"/>
        </w:rPr>
        <w:t>部署</w:t>
      </w:r>
      <w:r>
        <w:rPr>
          <w:rFonts w:hint="eastAsia" w:eastAsia="仿宋"/>
          <w:sz w:val="32"/>
          <w:szCs w:val="32"/>
          <w:highlight w:val="none"/>
        </w:rPr>
        <w:t>，</w:t>
      </w:r>
      <w:r>
        <w:rPr>
          <w:rFonts w:hint="eastAsia"/>
          <w:sz w:val="32"/>
          <w:szCs w:val="32"/>
          <w:highlight w:val="none"/>
          <w:lang w:val="en-US" w:eastAsia="zh-CN"/>
        </w:rPr>
        <w:t>为</w:t>
      </w:r>
      <w:r>
        <w:rPr>
          <w:rFonts w:hint="eastAsia" w:eastAsia="仿宋"/>
          <w:sz w:val="32"/>
          <w:szCs w:val="32"/>
          <w:highlight w:val="none"/>
        </w:rPr>
        <w:t>落实</w:t>
      </w:r>
      <w:r>
        <w:rPr>
          <w:rFonts w:hint="eastAsia"/>
          <w:sz w:val="32"/>
          <w:szCs w:val="32"/>
          <w:highlight w:val="none"/>
          <w:lang w:val="en-US" w:eastAsia="zh-CN"/>
        </w:rPr>
        <w:t>泰州市</w:t>
      </w:r>
      <w:r>
        <w:rPr>
          <w:rFonts w:hint="eastAsia"/>
          <w:sz w:val="32"/>
          <w:szCs w:val="32"/>
          <w:highlight w:val="none"/>
          <w:lang w:eastAsia="zh-CN"/>
        </w:rPr>
        <w:t>“</w:t>
      </w:r>
      <w:r>
        <w:rPr>
          <w:rFonts w:hint="eastAsia" w:eastAsia="仿宋"/>
          <w:sz w:val="32"/>
          <w:szCs w:val="32"/>
          <w:highlight w:val="none"/>
        </w:rPr>
        <w:t>十</w:t>
      </w:r>
      <w:r>
        <w:rPr>
          <w:rFonts w:hint="eastAsia" w:eastAsia="仿宋"/>
          <w:sz w:val="32"/>
          <w:szCs w:val="32"/>
          <w:highlight w:val="none"/>
          <w:lang w:val="en-US" w:eastAsia="zh-CN"/>
        </w:rPr>
        <w:t>五</w:t>
      </w:r>
      <w:r>
        <w:rPr>
          <w:rFonts w:hint="eastAsia" w:eastAsia="仿宋"/>
          <w:sz w:val="32"/>
          <w:szCs w:val="32"/>
          <w:highlight w:val="none"/>
        </w:rPr>
        <w:t>五</w:t>
      </w:r>
      <w:r>
        <w:rPr>
          <w:rFonts w:hint="eastAsia"/>
          <w:sz w:val="32"/>
          <w:szCs w:val="32"/>
          <w:highlight w:val="none"/>
          <w:lang w:eastAsia="zh-CN"/>
        </w:rPr>
        <w:t>”</w:t>
      </w:r>
      <w:r>
        <w:rPr>
          <w:rFonts w:hint="eastAsia"/>
          <w:sz w:val="32"/>
          <w:szCs w:val="32"/>
          <w:highlight w:val="none"/>
          <w:lang w:val="en-US" w:eastAsia="zh-CN"/>
        </w:rPr>
        <w:t>农业农村发展相关要求，</w:t>
      </w:r>
      <w:r>
        <w:rPr>
          <w:rFonts w:hint="eastAsia" w:eastAsia="仿宋"/>
          <w:color w:val="auto"/>
          <w:sz w:val="32"/>
          <w:szCs w:val="32"/>
          <w:highlight w:val="none"/>
        </w:rPr>
        <w:t>特编制《</w:t>
      </w:r>
      <w:r>
        <w:rPr>
          <w:rFonts w:hint="eastAsia" w:eastAsia="仿宋"/>
          <w:color w:val="auto"/>
          <w:sz w:val="32"/>
          <w:szCs w:val="32"/>
          <w:highlight w:val="none"/>
          <w:lang w:val="en-US" w:eastAsia="zh-CN"/>
        </w:rPr>
        <w:t>泰州市海陵区</w:t>
      </w:r>
      <w:r>
        <w:rPr>
          <w:rFonts w:hint="eastAsia"/>
          <w:color w:val="auto"/>
          <w:sz w:val="32"/>
          <w:szCs w:val="32"/>
          <w:highlight w:val="none"/>
          <w:lang w:val="en-US" w:eastAsia="zh-CN"/>
        </w:rPr>
        <w:t>“十五五”</w:t>
      </w:r>
      <w:r>
        <w:rPr>
          <w:rFonts w:hint="eastAsia" w:eastAsia="仿宋"/>
          <w:color w:val="auto"/>
          <w:sz w:val="32"/>
          <w:szCs w:val="32"/>
          <w:highlight w:val="none"/>
          <w:lang w:val="en-US" w:eastAsia="zh-CN"/>
        </w:rPr>
        <w:t>农业农村发展规划</w:t>
      </w:r>
      <w:r>
        <w:rPr>
          <w:rFonts w:hint="eastAsia" w:eastAsia="仿宋"/>
          <w:color w:val="auto"/>
          <w:sz w:val="32"/>
          <w:szCs w:val="32"/>
          <w:highlight w:val="none"/>
        </w:rPr>
        <w:t>》。</w:t>
      </w:r>
    </w:p>
    <w:p w14:paraId="4F221868">
      <w:pPr>
        <w:spacing w:line="240" w:lineRule="auto"/>
        <w:ind w:firstLine="560"/>
        <w:rPr>
          <w:rFonts w:eastAsia="仿宋"/>
          <w:color w:val="auto"/>
          <w:sz w:val="32"/>
          <w:szCs w:val="32"/>
          <w:highlight w:val="none"/>
        </w:rPr>
      </w:pPr>
      <w:r>
        <w:rPr>
          <w:rFonts w:hint="eastAsia" w:eastAsia="仿宋"/>
          <w:color w:val="auto"/>
          <w:sz w:val="32"/>
          <w:szCs w:val="32"/>
          <w:highlight w:val="none"/>
        </w:rPr>
        <w:t>本规划主要阐明</w:t>
      </w:r>
      <w:r>
        <w:rPr>
          <w:rFonts w:hint="eastAsia"/>
          <w:color w:val="auto"/>
          <w:sz w:val="32"/>
          <w:szCs w:val="32"/>
          <w:highlight w:val="none"/>
          <w:lang w:eastAsia="zh-CN"/>
        </w:rPr>
        <w:t>“</w:t>
      </w:r>
      <w:r>
        <w:rPr>
          <w:rFonts w:hint="eastAsia" w:eastAsia="仿宋"/>
          <w:color w:val="auto"/>
          <w:sz w:val="32"/>
          <w:szCs w:val="32"/>
          <w:highlight w:val="none"/>
        </w:rPr>
        <w:t>十</w:t>
      </w:r>
      <w:r>
        <w:rPr>
          <w:rFonts w:hint="eastAsia" w:eastAsia="仿宋"/>
          <w:color w:val="auto"/>
          <w:sz w:val="32"/>
          <w:szCs w:val="32"/>
          <w:highlight w:val="none"/>
          <w:lang w:val="en-US" w:eastAsia="zh-CN"/>
        </w:rPr>
        <w:t>五</w:t>
      </w:r>
      <w:r>
        <w:rPr>
          <w:rFonts w:hint="eastAsia" w:eastAsia="仿宋"/>
          <w:color w:val="auto"/>
          <w:sz w:val="32"/>
          <w:szCs w:val="32"/>
          <w:highlight w:val="none"/>
        </w:rPr>
        <w:t>五</w:t>
      </w:r>
      <w:r>
        <w:rPr>
          <w:rFonts w:hint="eastAsia"/>
          <w:color w:val="auto"/>
          <w:sz w:val="32"/>
          <w:szCs w:val="32"/>
          <w:highlight w:val="none"/>
          <w:lang w:eastAsia="zh-CN"/>
        </w:rPr>
        <w:t>”</w:t>
      </w:r>
      <w:r>
        <w:rPr>
          <w:rFonts w:hint="eastAsia" w:eastAsia="仿宋"/>
          <w:color w:val="auto"/>
          <w:sz w:val="32"/>
          <w:szCs w:val="32"/>
          <w:highlight w:val="none"/>
        </w:rPr>
        <w:t>时期</w:t>
      </w:r>
      <w:r>
        <w:rPr>
          <w:rFonts w:hint="eastAsia" w:eastAsia="仿宋"/>
          <w:color w:val="auto"/>
          <w:sz w:val="32"/>
          <w:szCs w:val="32"/>
          <w:highlight w:val="none"/>
          <w:lang w:val="en-US" w:eastAsia="zh-CN"/>
        </w:rPr>
        <w:t>泰州市</w:t>
      </w:r>
      <w:r>
        <w:rPr>
          <w:rFonts w:hint="eastAsia"/>
          <w:color w:val="auto"/>
          <w:sz w:val="32"/>
          <w:szCs w:val="32"/>
          <w:highlight w:val="none"/>
          <w:lang w:val="en-US" w:eastAsia="zh-CN"/>
        </w:rPr>
        <w:t>海陵区</w:t>
      </w:r>
      <w:r>
        <w:rPr>
          <w:rFonts w:hint="eastAsia" w:eastAsia="仿宋"/>
          <w:color w:val="auto"/>
          <w:sz w:val="32"/>
          <w:szCs w:val="32"/>
          <w:highlight w:val="none"/>
        </w:rPr>
        <w:t>农业农村发展的总体思路、主要目标和重点任务，</w:t>
      </w:r>
      <w:r>
        <w:rPr>
          <w:rFonts w:hint="eastAsia"/>
          <w:color w:val="auto"/>
          <w:sz w:val="32"/>
          <w:szCs w:val="32"/>
          <w:highlight w:val="none"/>
          <w:lang w:val="en-US" w:eastAsia="zh-CN"/>
        </w:rPr>
        <w:t>以“主城近郊、融合示范”为导向，全面推进农业农村现代化，是指导全区“十五五”时期“三农”工作的重要参考依据。</w:t>
      </w:r>
    </w:p>
    <w:p w14:paraId="667E39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b/>
          <w:bCs/>
          <w:sz w:val="36"/>
          <w:szCs w:val="36"/>
          <w:highlight w:val="none"/>
          <w:lang w:val="en-US" w:eastAsia="zh-CN"/>
        </w:rPr>
        <w:sectPr>
          <w:footerReference r:id="rId5" w:type="default"/>
          <w:pgSz w:w="11906" w:h="16838"/>
          <w:pgMar w:top="1440" w:right="1800" w:bottom="1440" w:left="1800" w:header="851" w:footer="992" w:gutter="0"/>
          <w:pgNumType w:fmt="upperRoman" w:start="1"/>
          <w:cols w:space="425" w:num="1"/>
          <w:docGrid w:type="lines" w:linePitch="312" w:charSpace="0"/>
        </w:sectPr>
      </w:pPr>
    </w:p>
    <w:sdt>
      <w:sdtPr>
        <w:rPr>
          <w:rFonts w:hint="eastAsia" w:ascii="黑体" w:hAnsi="黑体" w:eastAsia="黑体" w:cs="黑体"/>
          <w:b/>
          <w:bCs/>
          <w:sz w:val="36"/>
          <w:szCs w:val="36"/>
          <w:highlight w:val="none"/>
          <w:lang w:val="en-US" w:eastAsia="zh-CN"/>
        </w:rPr>
        <w:id w:val="147482910"/>
        <w15:color w:val="DBDBDB"/>
        <w:docPartObj>
          <w:docPartGallery w:val="Table of Contents"/>
          <w:docPartUnique/>
        </w:docPartObj>
      </w:sdtPr>
      <w:sdtEndPr>
        <w:rPr>
          <w:rFonts w:hint="eastAsia" w:ascii="Times New Roman" w:hAnsi="Times New Roman" w:eastAsia="宋体" w:cs="Times New Roman"/>
          <w:b/>
          <w:bCs/>
          <w:color w:val="auto"/>
          <w:kern w:val="2"/>
          <w:sz w:val="21"/>
          <w:szCs w:val="22"/>
          <w:highlight w:val="none"/>
          <w:lang w:val="en-US" w:eastAsia="zh-CN" w:bidi="ar-SA"/>
        </w:rPr>
      </w:sdtEndPr>
      <w:sdtContent>
        <w:p w14:paraId="518D15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b/>
              <w:bCs/>
              <w:sz w:val="36"/>
              <w:szCs w:val="36"/>
              <w:highlight w:val="none"/>
            </w:rPr>
          </w:pPr>
          <w:r>
            <w:rPr>
              <w:rFonts w:hint="eastAsia" w:ascii="黑体" w:hAnsi="黑体" w:eastAsia="黑体" w:cs="黑体"/>
              <w:b/>
              <w:bCs/>
              <w:sz w:val="36"/>
              <w:szCs w:val="36"/>
              <w:highlight w:val="none"/>
            </w:rPr>
            <w:t>目</w:t>
          </w:r>
          <w:r>
            <w:rPr>
              <w:rFonts w:hint="eastAsia" w:ascii="黑体" w:hAnsi="黑体" w:eastAsia="黑体" w:cs="黑体"/>
              <w:b/>
              <w:bCs/>
              <w:sz w:val="36"/>
              <w:szCs w:val="36"/>
              <w:highlight w:val="none"/>
              <w:lang w:val="en-US" w:eastAsia="zh-CN"/>
            </w:rPr>
            <w:t xml:space="preserve">   </w:t>
          </w:r>
          <w:r>
            <w:rPr>
              <w:rFonts w:hint="eastAsia" w:ascii="黑体" w:hAnsi="黑体" w:eastAsia="黑体" w:cs="黑体"/>
              <w:b/>
              <w:bCs/>
              <w:sz w:val="36"/>
              <w:szCs w:val="36"/>
              <w:highlight w:val="none"/>
            </w:rPr>
            <w:t>录</w:t>
          </w:r>
        </w:p>
        <w:p w14:paraId="5A853B27">
          <w:pPr>
            <w:pStyle w:val="10"/>
            <w:tabs>
              <w:tab w:val="right" w:leader="dot" w:pos="8306"/>
              <w:tab w:val="clear" w:pos="8296"/>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_Toc29066 </w:instrText>
          </w:r>
          <w:r>
            <w:rPr>
              <w:rFonts w:hint="eastAsia"/>
            </w:rPr>
            <w:fldChar w:fldCharType="separate"/>
          </w:r>
          <w:r>
            <w:rPr>
              <w:rFonts w:hint="eastAsia"/>
            </w:rPr>
            <w:t>第一章 发展基础与形势分析</w:t>
          </w:r>
          <w:r>
            <w:tab/>
          </w:r>
          <w:r>
            <w:fldChar w:fldCharType="begin"/>
          </w:r>
          <w:r>
            <w:instrText xml:space="preserve"> PAGEREF _Toc29066 \h </w:instrText>
          </w:r>
          <w:r>
            <w:fldChar w:fldCharType="separate"/>
          </w:r>
          <w:r>
            <w:t>1</w:t>
          </w:r>
          <w:r>
            <w:fldChar w:fldCharType="end"/>
          </w:r>
          <w:r>
            <w:rPr>
              <w:rFonts w:hint="eastAsia"/>
            </w:rPr>
            <w:fldChar w:fldCharType="end"/>
          </w:r>
        </w:p>
        <w:p w14:paraId="4F799E71">
          <w:pPr>
            <w:pStyle w:val="11"/>
            <w:tabs>
              <w:tab w:val="right" w:leader="dot" w:pos="8306"/>
              <w:tab w:val="clear" w:pos="8296"/>
            </w:tabs>
          </w:pPr>
          <w:r>
            <w:rPr>
              <w:rFonts w:hint="eastAsia"/>
            </w:rPr>
            <w:fldChar w:fldCharType="begin"/>
          </w:r>
          <w:r>
            <w:rPr>
              <w:rFonts w:hint="eastAsia"/>
            </w:rPr>
            <w:instrText xml:space="preserve"> HYPERLINK \l _Toc27663 </w:instrText>
          </w:r>
          <w:r>
            <w:rPr>
              <w:rFonts w:hint="eastAsia"/>
            </w:rPr>
            <w:fldChar w:fldCharType="separate"/>
          </w:r>
          <w:r>
            <w:rPr>
              <w:rFonts w:hint="eastAsia"/>
            </w:rPr>
            <w:t>第一节 发展基础</w:t>
          </w:r>
          <w:r>
            <w:tab/>
          </w:r>
          <w:r>
            <w:fldChar w:fldCharType="begin"/>
          </w:r>
          <w:r>
            <w:instrText xml:space="preserve"> PAGEREF _Toc27663 \h </w:instrText>
          </w:r>
          <w:r>
            <w:fldChar w:fldCharType="separate"/>
          </w:r>
          <w:r>
            <w:t>1</w:t>
          </w:r>
          <w:r>
            <w:fldChar w:fldCharType="end"/>
          </w:r>
          <w:r>
            <w:rPr>
              <w:rFonts w:hint="eastAsia"/>
            </w:rPr>
            <w:fldChar w:fldCharType="end"/>
          </w:r>
        </w:p>
        <w:p w14:paraId="3770578C">
          <w:pPr>
            <w:pStyle w:val="11"/>
            <w:tabs>
              <w:tab w:val="right" w:leader="dot" w:pos="8306"/>
              <w:tab w:val="clear" w:pos="8296"/>
            </w:tabs>
          </w:pPr>
          <w:r>
            <w:rPr>
              <w:rFonts w:hint="eastAsia"/>
            </w:rPr>
            <w:fldChar w:fldCharType="begin"/>
          </w:r>
          <w:r>
            <w:rPr>
              <w:rFonts w:hint="eastAsia"/>
            </w:rPr>
            <w:instrText xml:space="preserve"> HYPERLINK \l _Toc251 </w:instrText>
          </w:r>
          <w:r>
            <w:rPr>
              <w:rFonts w:hint="eastAsia"/>
            </w:rPr>
            <w:fldChar w:fldCharType="separate"/>
          </w:r>
          <w:r>
            <w:rPr>
              <w:rFonts w:hint="eastAsia"/>
              <w:lang w:val="en-US" w:eastAsia="zh-CN"/>
            </w:rPr>
            <w:t>第二节 发展阶段分析</w:t>
          </w:r>
          <w:r>
            <w:tab/>
          </w:r>
          <w:r>
            <w:fldChar w:fldCharType="begin"/>
          </w:r>
          <w:r>
            <w:instrText xml:space="preserve"> PAGEREF _Toc251 \h </w:instrText>
          </w:r>
          <w:r>
            <w:fldChar w:fldCharType="separate"/>
          </w:r>
          <w:r>
            <w:t>6</w:t>
          </w:r>
          <w:r>
            <w:fldChar w:fldCharType="end"/>
          </w:r>
          <w:r>
            <w:rPr>
              <w:rFonts w:hint="eastAsia"/>
            </w:rPr>
            <w:fldChar w:fldCharType="end"/>
          </w:r>
        </w:p>
        <w:p w14:paraId="606CE763">
          <w:pPr>
            <w:pStyle w:val="11"/>
            <w:tabs>
              <w:tab w:val="right" w:leader="dot" w:pos="8306"/>
              <w:tab w:val="clear" w:pos="8296"/>
            </w:tabs>
          </w:pPr>
          <w:r>
            <w:rPr>
              <w:rFonts w:hint="eastAsia"/>
            </w:rPr>
            <w:fldChar w:fldCharType="begin"/>
          </w:r>
          <w:r>
            <w:rPr>
              <w:rFonts w:hint="eastAsia"/>
            </w:rPr>
            <w:instrText xml:space="preserve"> HYPERLINK \l _Toc6304 </w:instrText>
          </w:r>
          <w:r>
            <w:rPr>
              <w:rFonts w:hint="eastAsia"/>
            </w:rPr>
            <w:fldChar w:fldCharType="separate"/>
          </w:r>
          <w:r>
            <w:rPr>
              <w:rFonts w:hint="eastAsia"/>
              <w:lang w:val="en-US" w:eastAsia="zh-CN"/>
            </w:rPr>
            <w:t>第三节 发展形势分析</w:t>
          </w:r>
          <w:r>
            <w:tab/>
          </w:r>
          <w:r>
            <w:fldChar w:fldCharType="begin"/>
          </w:r>
          <w:r>
            <w:instrText xml:space="preserve"> PAGEREF _Toc6304 \h </w:instrText>
          </w:r>
          <w:r>
            <w:fldChar w:fldCharType="separate"/>
          </w:r>
          <w:r>
            <w:t>8</w:t>
          </w:r>
          <w:r>
            <w:fldChar w:fldCharType="end"/>
          </w:r>
          <w:r>
            <w:rPr>
              <w:rFonts w:hint="eastAsia"/>
            </w:rPr>
            <w:fldChar w:fldCharType="end"/>
          </w:r>
        </w:p>
        <w:p w14:paraId="7E0C6B23">
          <w:pPr>
            <w:pStyle w:val="10"/>
            <w:tabs>
              <w:tab w:val="right" w:leader="dot" w:pos="8306"/>
              <w:tab w:val="clear" w:pos="8296"/>
            </w:tabs>
          </w:pPr>
          <w:r>
            <w:rPr>
              <w:rFonts w:hint="eastAsia"/>
            </w:rPr>
            <w:fldChar w:fldCharType="begin"/>
          </w:r>
          <w:r>
            <w:rPr>
              <w:rFonts w:hint="eastAsia"/>
            </w:rPr>
            <w:instrText xml:space="preserve"> HYPERLINK \l _Toc9504 </w:instrText>
          </w:r>
          <w:r>
            <w:rPr>
              <w:rFonts w:hint="eastAsia"/>
            </w:rPr>
            <w:fldChar w:fldCharType="separate"/>
          </w:r>
          <w:r>
            <w:rPr>
              <w:rFonts w:hint="eastAsia"/>
            </w:rPr>
            <w:t>第二章 总体要求</w:t>
          </w:r>
          <w:r>
            <w:tab/>
          </w:r>
          <w:r>
            <w:fldChar w:fldCharType="begin"/>
          </w:r>
          <w:r>
            <w:instrText xml:space="preserve"> PAGEREF _Toc9504 \h </w:instrText>
          </w:r>
          <w:r>
            <w:fldChar w:fldCharType="separate"/>
          </w:r>
          <w:r>
            <w:t>11</w:t>
          </w:r>
          <w:r>
            <w:fldChar w:fldCharType="end"/>
          </w:r>
          <w:r>
            <w:rPr>
              <w:rFonts w:hint="eastAsia"/>
            </w:rPr>
            <w:fldChar w:fldCharType="end"/>
          </w:r>
        </w:p>
        <w:p w14:paraId="58B76B81">
          <w:pPr>
            <w:pStyle w:val="11"/>
            <w:tabs>
              <w:tab w:val="right" w:leader="dot" w:pos="8306"/>
              <w:tab w:val="clear" w:pos="8296"/>
            </w:tabs>
          </w:pPr>
          <w:r>
            <w:rPr>
              <w:rFonts w:hint="eastAsia"/>
            </w:rPr>
            <w:fldChar w:fldCharType="begin"/>
          </w:r>
          <w:r>
            <w:rPr>
              <w:rFonts w:hint="eastAsia"/>
            </w:rPr>
            <w:instrText xml:space="preserve"> HYPERLINK \l _Toc5561 </w:instrText>
          </w:r>
          <w:r>
            <w:rPr>
              <w:rFonts w:hint="eastAsia"/>
            </w:rPr>
            <w:fldChar w:fldCharType="separate"/>
          </w:r>
          <w:r>
            <w:rPr>
              <w:rFonts w:hint="eastAsia"/>
            </w:rPr>
            <w:t>第一节 指导思想</w:t>
          </w:r>
          <w:r>
            <w:tab/>
          </w:r>
          <w:r>
            <w:fldChar w:fldCharType="begin"/>
          </w:r>
          <w:r>
            <w:instrText xml:space="preserve"> PAGEREF _Toc5561 \h </w:instrText>
          </w:r>
          <w:r>
            <w:fldChar w:fldCharType="separate"/>
          </w:r>
          <w:r>
            <w:t>11</w:t>
          </w:r>
          <w:r>
            <w:fldChar w:fldCharType="end"/>
          </w:r>
          <w:r>
            <w:rPr>
              <w:rFonts w:hint="eastAsia"/>
            </w:rPr>
            <w:fldChar w:fldCharType="end"/>
          </w:r>
        </w:p>
        <w:p w14:paraId="108F7038">
          <w:pPr>
            <w:pStyle w:val="11"/>
            <w:tabs>
              <w:tab w:val="right" w:leader="dot" w:pos="8306"/>
              <w:tab w:val="clear" w:pos="8296"/>
            </w:tabs>
          </w:pPr>
          <w:r>
            <w:rPr>
              <w:rFonts w:hint="eastAsia"/>
            </w:rPr>
            <w:fldChar w:fldCharType="begin"/>
          </w:r>
          <w:r>
            <w:rPr>
              <w:rFonts w:hint="eastAsia"/>
            </w:rPr>
            <w:instrText xml:space="preserve"> HYPERLINK \l _Toc3797 </w:instrText>
          </w:r>
          <w:r>
            <w:rPr>
              <w:rFonts w:hint="eastAsia"/>
            </w:rPr>
            <w:fldChar w:fldCharType="separate"/>
          </w:r>
          <w:r>
            <w:rPr>
              <w:rFonts w:hint="eastAsia"/>
            </w:rPr>
            <w:t>第二节 基本原则</w:t>
          </w:r>
          <w:r>
            <w:tab/>
          </w:r>
          <w:r>
            <w:fldChar w:fldCharType="begin"/>
          </w:r>
          <w:r>
            <w:instrText xml:space="preserve"> PAGEREF _Toc3797 \h </w:instrText>
          </w:r>
          <w:r>
            <w:fldChar w:fldCharType="separate"/>
          </w:r>
          <w:r>
            <w:t>11</w:t>
          </w:r>
          <w:r>
            <w:fldChar w:fldCharType="end"/>
          </w:r>
          <w:r>
            <w:rPr>
              <w:rFonts w:hint="eastAsia"/>
            </w:rPr>
            <w:fldChar w:fldCharType="end"/>
          </w:r>
        </w:p>
        <w:p w14:paraId="209C96D5">
          <w:pPr>
            <w:pStyle w:val="11"/>
            <w:tabs>
              <w:tab w:val="right" w:leader="dot" w:pos="8306"/>
              <w:tab w:val="clear" w:pos="8296"/>
            </w:tabs>
          </w:pPr>
          <w:r>
            <w:rPr>
              <w:rFonts w:hint="eastAsia"/>
            </w:rPr>
            <w:fldChar w:fldCharType="begin"/>
          </w:r>
          <w:r>
            <w:rPr>
              <w:rFonts w:hint="eastAsia"/>
            </w:rPr>
            <w:instrText xml:space="preserve"> HYPERLINK \l _Toc11256 </w:instrText>
          </w:r>
          <w:r>
            <w:rPr>
              <w:rFonts w:hint="eastAsia"/>
            </w:rPr>
            <w:fldChar w:fldCharType="separate"/>
          </w:r>
          <w:r>
            <w:rPr>
              <w:rFonts w:hint="eastAsia"/>
              <w:highlight w:val="none"/>
            </w:rPr>
            <w:t>第三节 发展目标</w:t>
          </w:r>
          <w:r>
            <w:tab/>
          </w:r>
          <w:r>
            <w:fldChar w:fldCharType="begin"/>
          </w:r>
          <w:r>
            <w:instrText xml:space="preserve"> PAGEREF _Toc11256 \h </w:instrText>
          </w:r>
          <w:r>
            <w:fldChar w:fldCharType="separate"/>
          </w:r>
          <w:r>
            <w:t>12</w:t>
          </w:r>
          <w:r>
            <w:fldChar w:fldCharType="end"/>
          </w:r>
          <w:r>
            <w:rPr>
              <w:rFonts w:hint="eastAsia"/>
            </w:rPr>
            <w:fldChar w:fldCharType="end"/>
          </w:r>
        </w:p>
        <w:p w14:paraId="1B9FCDB9">
          <w:pPr>
            <w:pStyle w:val="11"/>
            <w:tabs>
              <w:tab w:val="right" w:leader="dot" w:pos="8306"/>
              <w:tab w:val="clear" w:pos="8296"/>
            </w:tabs>
          </w:pPr>
          <w:r>
            <w:rPr>
              <w:rFonts w:hint="eastAsia"/>
            </w:rPr>
            <w:fldChar w:fldCharType="begin"/>
          </w:r>
          <w:r>
            <w:rPr>
              <w:rFonts w:hint="eastAsia"/>
            </w:rPr>
            <w:instrText xml:space="preserve"> HYPERLINK \l _Toc16282 </w:instrText>
          </w:r>
          <w:r>
            <w:rPr>
              <w:rFonts w:hint="eastAsia"/>
            </w:rPr>
            <w:fldChar w:fldCharType="separate"/>
          </w:r>
          <w:r>
            <w:rPr>
              <w:rFonts w:hint="eastAsia"/>
              <w:highlight w:val="none"/>
            </w:rPr>
            <w:t>第</w:t>
          </w:r>
          <w:r>
            <w:rPr>
              <w:rFonts w:hint="eastAsia"/>
              <w:highlight w:val="none"/>
              <w:lang w:val="en-US" w:eastAsia="zh-CN"/>
            </w:rPr>
            <w:t>四</w:t>
          </w:r>
          <w:r>
            <w:rPr>
              <w:rFonts w:hint="eastAsia"/>
              <w:highlight w:val="none"/>
            </w:rPr>
            <w:t xml:space="preserve">节 </w:t>
          </w:r>
          <w:r>
            <w:rPr>
              <w:rFonts w:hint="eastAsia"/>
              <w:highlight w:val="none"/>
              <w:lang w:val="en-US" w:eastAsia="zh-CN"/>
            </w:rPr>
            <w:t>空间布局</w:t>
          </w:r>
          <w:r>
            <w:tab/>
          </w:r>
          <w:r>
            <w:fldChar w:fldCharType="begin"/>
          </w:r>
          <w:r>
            <w:instrText xml:space="preserve"> PAGEREF _Toc16282 \h </w:instrText>
          </w:r>
          <w:r>
            <w:fldChar w:fldCharType="separate"/>
          </w:r>
          <w:r>
            <w:t>13</w:t>
          </w:r>
          <w:r>
            <w:fldChar w:fldCharType="end"/>
          </w:r>
          <w:r>
            <w:rPr>
              <w:rFonts w:hint="eastAsia"/>
            </w:rPr>
            <w:fldChar w:fldCharType="end"/>
          </w:r>
        </w:p>
        <w:p w14:paraId="3EE04918">
          <w:pPr>
            <w:pStyle w:val="10"/>
            <w:tabs>
              <w:tab w:val="right" w:leader="dot" w:pos="8306"/>
              <w:tab w:val="clear" w:pos="8296"/>
            </w:tabs>
          </w:pPr>
          <w:r>
            <w:rPr>
              <w:rFonts w:hint="eastAsia"/>
            </w:rPr>
            <w:fldChar w:fldCharType="begin"/>
          </w:r>
          <w:r>
            <w:rPr>
              <w:rFonts w:hint="eastAsia"/>
            </w:rPr>
            <w:instrText xml:space="preserve"> HYPERLINK \l _Toc30270 </w:instrText>
          </w:r>
          <w:r>
            <w:rPr>
              <w:rFonts w:hint="eastAsia"/>
            </w:rPr>
            <w:fldChar w:fldCharType="separate"/>
          </w:r>
          <w:r>
            <w:rPr>
              <w:rFonts w:hint="eastAsia"/>
              <w:lang w:val="en-US" w:eastAsia="zh-CN"/>
            </w:rPr>
            <w:t>第三章 全面推进都市农业高质量发展</w:t>
          </w:r>
          <w:r>
            <w:tab/>
          </w:r>
          <w:r>
            <w:fldChar w:fldCharType="begin"/>
          </w:r>
          <w:r>
            <w:instrText xml:space="preserve"> PAGEREF _Toc30270 \h </w:instrText>
          </w:r>
          <w:r>
            <w:fldChar w:fldCharType="separate"/>
          </w:r>
          <w:r>
            <w:t>16</w:t>
          </w:r>
          <w:r>
            <w:fldChar w:fldCharType="end"/>
          </w:r>
          <w:r>
            <w:rPr>
              <w:rFonts w:hint="eastAsia"/>
            </w:rPr>
            <w:fldChar w:fldCharType="end"/>
          </w:r>
        </w:p>
        <w:p w14:paraId="63629470">
          <w:pPr>
            <w:pStyle w:val="11"/>
            <w:tabs>
              <w:tab w:val="right" w:leader="dot" w:pos="8306"/>
              <w:tab w:val="clear" w:pos="8296"/>
            </w:tabs>
          </w:pPr>
          <w:r>
            <w:rPr>
              <w:rFonts w:hint="eastAsia"/>
            </w:rPr>
            <w:fldChar w:fldCharType="begin"/>
          </w:r>
          <w:r>
            <w:rPr>
              <w:rFonts w:hint="eastAsia"/>
            </w:rPr>
            <w:instrText xml:space="preserve"> HYPERLINK \l _Toc9640 </w:instrText>
          </w:r>
          <w:r>
            <w:rPr>
              <w:rFonts w:hint="eastAsia"/>
            </w:rPr>
            <w:fldChar w:fldCharType="separate"/>
          </w:r>
          <w:r>
            <w:rPr>
              <w:rFonts w:hint="eastAsia"/>
              <w:lang w:val="en-US" w:eastAsia="zh-CN"/>
            </w:rPr>
            <w:t>第一节 夯实农业生产基础条件</w:t>
          </w:r>
          <w:r>
            <w:tab/>
          </w:r>
          <w:r>
            <w:fldChar w:fldCharType="begin"/>
          </w:r>
          <w:r>
            <w:instrText xml:space="preserve"> PAGEREF _Toc9640 \h </w:instrText>
          </w:r>
          <w:r>
            <w:fldChar w:fldCharType="separate"/>
          </w:r>
          <w:r>
            <w:t>16</w:t>
          </w:r>
          <w:r>
            <w:fldChar w:fldCharType="end"/>
          </w:r>
          <w:r>
            <w:rPr>
              <w:rFonts w:hint="eastAsia"/>
            </w:rPr>
            <w:fldChar w:fldCharType="end"/>
          </w:r>
        </w:p>
        <w:p w14:paraId="207908F0">
          <w:pPr>
            <w:pStyle w:val="11"/>
            <w:tabs>
              <w:tab w:val="right" w:leader="dot" w:pos="8306"/>
              <w:tab w:val="clear" w:pos="8296"/>
            </w:tabs>
          </w:pPr>
          <w:r>
            <w:rPr>
              <w:rFonts w:hint="eastAsia"/>
            </w:rPr>
            <w:fldChar w:fldCharType="begin"/>
          </w:r>
          <w:r>
            <w:rPr>
              <w:rFonts w:hint="eastAsia"/>
            </w:rPr>
            <w:instrText xml:space="preserve"> HYPERLINK \l _Toc26012 </w:instrText>
          </w:r>
          <w:r>
            <w:rPr>
              <w:rFonts w:hint="eastAsia"/>
            </w:rPr>
            <w:fldChar w:fldCharType="separate"/>
          </w:r>
          <w:r>
            <w:rPr>
              <w:rFonts w:hint="eastAsia"/>
              <w:highlight w:val="none"/>
              <w:lang w:val="en-US" w:eastAsia="zh-CN"/>
            </w:rPr>
            <w:t>第二节 提升农业发展质效水平</w:t>
          </w:r>
          <w:r>
            <w:tab/>
          </w:r>
          <w:r>
            <w:fldChar w:fldCharType="begin"/>
          </w:r>
          <w:r>
            <w:instrText xml:space="preserve"> PAGEREF _Toc26012 \h </w:instrText>
          </w:r>
          <w:r>
            <w:fldChar w:fldCharType="separate"/>
          </w:r>
          <w:r>
            <w:t>19</w:t>
          </w:r>
          <w:r>
            <w:fldChar w:fldCharType="end"/>
          </w:r>
          <w:r>
            <w:rPr>
              <w:rFonts w:hint="eastAsia"/>
            </w:rPr>
            <w:fldChar w:fldCharType="end"/>
          </w:r>
        </w:p>
        <w:p w14:paraId="53865492">
          <w:pPr>
            <w:pStyle w:val="11"/>
            <w:tabs>
              <w:tab w:val="right" w:leader="dot" w:pos="8306"/>
              <w:tab w:val="clear" w:pos="8296"/>
            </w:tabs>
          </w:pPr>
          <w:r>
            <w:rPr>
              <w:rFonts w:hint="eastAsia"/>
            </w:rPr>
            <w:fldChar w:fldCharType="begin"/>
          </w:r>
          <w:r>
            <w:rPr>
              <w:rFonts w:hint="eastAsia"/>
            </w:rPr>
            <w:instrText xml:space="preserve"> HYPERLINK \l _Toc8855 </w:instrText>
          </w:r>
          <w:r>
            <w:rPr>
              <w:rFonts w:hint="eastAsia"/>
            </w:rPr>
            <w:fldChar w:fldCharType="separate"/>
          </w:r>
          <w:r>
            <w:rPr>
              <w:rFonts w:hint="eastAsia"/>
              <w:highlight w:val="none"/>
              <w:lang w:val="en-US" w:eastAsia="zh-CN"/>
            </w:rPr>
            <w:t>第三节 强化农业开发区引擎作用</w:t>
          </w:r>
          <w:r>
            <w:tab/>
          </w:r>
          <w:r>
            <w:fldChar w:fldCharType="begin"/>
          </w:r>
          <w:r>
            <w:instrText xml:space="preserve"> PAGEREF _Toc8855 \h </w:instrText>
          </w:r>
          <w:r>
            <w:fldChar w:fldCharType="separate"/>
          </w:r>
          <w:r>
            <w:t>24</w:t>
          </w:r>
          <w:r>
            <w:fldChar w:fldCharType="end"/>
          </w:r>
          <w:r>
            <w:rPr>
              <w:rFonts w:hint="eastAsia"/>
            </w:rPr>
            <w:fldChar w:fldCharType="end"/>
          </w:r>
        </w:p>
        <w:p w14:paraId="31020E9F">
          <w:pPr>
            <w:pStyle w:val="11"/>
            <w:tabs>
              <w:tab w:val="right" w:leader="dot" w:pos="8306"/>
              <w:tab w:val="clear" w:pos="8296"/>
            </w:tabs>
          </w:pPr>
          <w:r>
            <w:rPr>
              <w:rFonts w:hint="eastAsia"/>
            </w:rPr>
            <w:fldChar w:fldCharType="begin"/>
          </w:r>
          <w:r>
            <w:rPr>
              <w:rFonts w:hint="eastAsia"/>
            </w:rPr>
            <w:instrText xml:space="preserve"> HYPERLINK \l _Toc32467 </w:instrText>
          </w:r>
          <w:r>
            <w:rPr>
              <w:rFonts w:hint="eastAsia"/>
            </w:rPr>
            <w:fldChar w:fldCharType="separate"/>
          </w:r>
          <w:r>
            <w:rPr>
              <w:rFonts w:hint="default"/>
              <w:highlight w:val="none"/>
              <w:lang w:val="en-US" w:eastAsia="zh-CN"/>
            </w:rPr>
            <w:t>第四节 打造融合发展新业态新场景</w:t>
          </w:r>
          <w:r>
            <w:tab/>
          </w:r>
          <w:r>
            <w:fldChar w:fldCharType="begin"/>
          </w:r>
          <w:r>
            <w:instrText xml:space="preserve"> PAGEREF _Toc32467 \h </w:instrText>
          </w:r>
          <w:r>
            <w:fldChar w:fldCharType="separate"/>
          </w:r>
          <w:r>
            <w:t>28</w:t>
          </w:r>
          <w:r>
            <w:fldChar w:fldCharType="end"/>
          </w:r>
          <w:r>
            <w:rPr>
              <w:rFonts w:hint="eastAsia"/>
            </w:rPr>
            <w:fldChar w:fldCharType="end"/>
          </w:r>
        </w:p>
        <w:p w14:paraId="7074DB22">
          <w:pPr>
            <w:pStyle w:val="10"/>
            <w:tabs>
              <w:tab w:val="right" w:leader="dot" w:pos="8306"/>
              <w:tab w:val="clear" w:pos="8296"/>
            </w:tabs>
          </w:pPr>
          <w:r>
            <w:rPr>
              <w:rFonts w:hint="eastAsia"/>
            </w:rPr>
            <w:fldChar w:fldCharType="begin"/>
          </w:r>
          <w:r>
            <w:rPr>
              <w:rFonts w:hint="eastAsia"/>
            </w:rPr>
            <w:instrText xml:space="preserve"> HYPERLINK \l _Toc21386 </w:instrText>
          </w:r>
          <w:r>
            <w:rPr>
              <w:rFonts w:hint="eastAsia"/>
            </w:rPr>
            <w:fldChar w:fldCharType="separate"/>
          </w:r>
          <w:r>
            <w:rPr>
              <w:rFonts w:hint="eastAsia"/>
              <w:lang w:val="en-US" w:eastAsia="zh-CN"/>
            </w:rPr>
            <w:t xml:space="preserve">第四章 </w:t>
          </w:r>
          <w:r>
            <w:rPr>
              <w:rFonts w:hint="eastAsia"/>
            </w:rPr>
            <w:t>全面</w:t>
          </w:r>
          <w:r>
            <w:rPr>
              <w:rFonts w:hint="eastAsia"/>
              <w:lang w:val="en-US" w:eastAsia="zh-CN"/>
            </w:rPr>
            <w:t>开展宜居宜业和美乡村</w:t>
          </w:r>
          <w:r>
            <w:rPr>
              <w:rFonts w:hint="eastAsia"/>
            </w:rPr>
            <w:t>建设</w:t>
          </w:r>
          <w:r>
            <w:tab/>
          </w:r>
          <w:r>
            <w:fldChar w:fldCharType="begin"/>
          </w:r>
          <w:r>
            <w:instrText xml:space="preserve"> PAGEREF _Toc21386 \h </w:instrText>
          </w:r>
          <w:r>
            <w:fldChar w:fldCharType="separate"/>
          </w:r>
          <w:r>
            <w:t>33</w:t>
          </w:r>
          <w:r>
            <w:fldChar w:fldCharType="end"/>
          </w:r>
          <w:r>
            <w:rPr>
              <w:rFonts w:hint="eastAsia"/>
            </w:rPr>
            <w:fldChar w:fldCharType="end"/>
          </w:r>
        </w:p>
        <w:p w14:paraId="38CDAAAB">
          <w:pPr>
            <w:pStyle w:val="11"/>
            <w:tabs>
              <w:tab w:val="right" w:leader="dot" w:pos="8306"/>
              <w:tab w:val="clear" w:pos="8296"/>
            </w:tabs>
          </w:pPr>
          <w:r>
            <w:rPr>
              <w:rFonts w:hint="eastAsia"/>
            </w:rPr>
            <w:fldChar w:fldCharType="begin"/>
          </w:r>
          <w:r>
            <w:rPr>
              <w:rFonts w:hint="eastAsia"/>
            </w:rPr>
            <w:instrText xml:space="preserve"> HYPERLINK \l _Toc28754 </w:instrText>
          </w:r>
          <w:r>
            <w:rPr>
              <w:rFonts w:hint="eastAsia"/>
            </w:rPr>
            <w:fldChar w:fldCharType="separate"/>
          </w:r>
          <w:r>
            <w:rPr>
              <w:rFonts w:hint="eastAsia"/>
              <w:lang w:val="en-US" w:eastAsia="zh-CN"/>
            </w:rPr>
            <w:t>第一节 持续提升乡村建设水平</w:t>
          </w:r>
          <w:r>
            <w:tab/>
          </w:r>
          <w:r>
            <w:fldChar w:fldCharType="begin"/>
          </w:r>
          <w:r>
            <w:instrText xml:space="preserve"> PAGEREF _Toc28754 \h </w:instrText>
          </w:r>
          <w:r>
            <w:fldChar w:fldCharType="separate"/>
          </w:r>
          <w:r>
            <w:t>33</w:t>
          </w:r>
          <w:r>
            <w:fldChar w:fldCharType="end"/>
          </w:r>
          <w:r>
            <w:rPr>
              <w:rFonts w:hint="eastAsia"/>
            </w:rPr>
            <w:fldChar w:fldCharType="end"/>
          </w:r>
        </w:p>
        <w:p w14:paraId="37175A03">
          <w:pPr>
            <w:pStyle w:val="11"/>
            <w:tabs>
              <w:tab w:val="right" w:leader="dot" w:pos="8306"/>
              <w:tab w:val="clear" w:pos="8296"/>
            </w:tabs>
          </w:pPr>
          <w:r>
            <w:rPr>
              <w:rFonts w:hint="eastAsia"/>
            </w:rPr>
            <w:fldChar w:fldCharType="begin"/>
          </w:r>
          <w:r>
            <w:rPr>
              <w:rFonts w:hint="eastAsia"/>
            </w:rPr>
            <w:instrText xml:space="preserve"> HYPERLINK \l _Toc935 </w:instrText>
          </w:r>
          <w:r>
            <w:rPr>
              <w:rFonts w:hint="eastAsia"/>
            </w:rPr>
            <w:fldChar w:fldCharType="separate"/>
          </w:r>
          <w:r>
            <w:rPr>
              <w:rFonts w:hint="eastAsia"/>
              <w:highlight w:val="none"/>
              <w:lang w:val="en-US" w:eastAsia="zh-CN"/>
            </w:rPr>
            <w:t>第二节 整体提升乡村治理效能</w:t>
          </w:r>
          <w:r>
            <w:tab/>
          </w:r>
          <w:r>
            <w:fldChar w:fldCharType="begin"/>
          </w:r>
          <w:r>
            <w:instrText xml:space="preserve"> PAGEREF _Toc935 \h </w:instrText>
          </w:r>
          <w:r>
            <w:fldChar w:fldCharType="separate"/>
          </w:r>
          <w:r>
            <w:t>36</w:t>
          </w:r>
          <w:r>
            <w:fldChar w:fldCharType="end"/>
          </w:r>
          <w:r>
            <w:rPr>
              <w:rFonts w:hint="eastAsia"/>
            </w:rPr>
            <w:fldChar w:fldCharType="end"/>
          </w:r>
        </w:p>
        <w:p w14:paraId="695BF0E0">
          <w:pPr>
            <w:pStyle w:val="11"/>
            <w:tabs>
              <w:tab w:val="right" w:leader="dot" w:pos="8306"/>
              <w:tab w:val="clear" w:pos="8296"/>
            </w:tabs>
          </w:pPr>
          <w:r>
            <w:rPr>
              <w:rFonts w:hint="eastAsia"/>
            </w:rPr>
            <w:fldChar w:fldCharType="begin"/>
          </w:r>
          <w:r>
            <w:rPr>
              <w:rFonts w:hint="eastAsia"/>
            </w:rPr>
            <w:instrText xml:space="preserve"> HYPERLINK \l _Toc7506 </w:instrText>
          </w:r>
          <w:r>
            <w:rPr>
              <w:rFonts w:hint="eastAsia"/>
            </w:rPr>
            <w:fldChar w:fldCharType="separate"/>
          </w:r>
          <w:r>
            <w:rPr>
              <w:rFonts w:hint="eastAsia"/>
              <w:highlight w:val="none"/>
              <w:lang w:val="en-US" w:eastAsia="zh-CN"/>
            </w:rPr>
            <w:t>第三节 深化农村精神文明建设</w:t>
          </w:r>
          <w:r>
            <w:tab/>
          </w:r>
          <w:r>
            <w:fldChar w:fldCharType="begin"/>
          </w:r>
          <w:r>
            <w:instrText xml:space="preserve"> PAGEREF _Toc7506 \h </w:instrText>
          </w:r>
          <w:r>
            <w:fldChar w:fldCharType="separate"/>
          </w:r>
          <w:r>
            <w:t>38</w:t>
          </w:r>
          <w:r>
            <w:fldChar w:fldCharType="end"/>
          </w:r>
          <w:r>
            <w:rPr>
              <w:rFonts w:hint="eastAsia"/>
            </w:rPr>
            <w:fldChar w:fldCharType="end"/>
          </w:r>
        </w:p>
        <w:p w14:paraId="2B4B174C">
          <w:pPr>
            <w:pStyle w:val="10"/>
            <w:tabs>
              <w:tab w:val="right" w:leader="dot" w:pos="8306"/>
              <w:tab w:val="clear" w:pos="8296"/>
            </w:tabs>
          </w:pPr>
          <w:r>
            <w:rPr>
              <w:rFonts w:hint="eastAsia"/>
            </w:rPr>
            <w:fldChar w:fldCharType="begin"/>
          </w:r>
          <w:r>
            <w:rPr>
              <w:rFonts w:hint="eastAsia"/>
            </w:rPr>
            <w:instrText xml:space="preserve"> HYPERLINK \l _Toc25407 </w:instrText>
          </w:r>
          <w:r>
            <w:rPr>
              <w:rFonts w:hint="eastAsia"/>
            </w:rPr>
            <w:fldChar w:fldCharType="separate"/>
          </w:r>
          <w:r>
            <w:rPr>
              <w:rFonts w:hint="eastAsia"/>
              <w:highlight w:val="none"/>
              <w:lang w:val="en-US" w:eastAsia="zh-CN"/>
            </w:rPr>
            <w:t xml:space="preserve">第五章 </w:t>
          </w:r>
          <w:r>
            <w:rPr>
              <w:rFonts w:hint="eastAsia"/>
              <w:highlight w:val="none"/>
            </w:rPr>
            <w:t>全面增强农民获得感幸福感</w:t>
          </w:r>
          <w:r>
            <w:tab/>
          </w:r>
          <w:r>
            <w:fldChar w:fldCharType="begin"/>
          </w:r>
          <w:r>
            <w:instrText xml:space="preserve"> PAGEREF _Toc25407 \h </w:instrText>
          </w:r>
          <w:r>
            <w:fldChar w:fldCharType="separate"/>
          </w:r>
          <w:r>
            <w:t>41</w:t>
          </w:r>
          <w:r>
            <w:fldChar w:fldCharType="end"/>
          </w:r>
          <w:r>
            <w:rPr>
              <w:rFonts w:hint="eastAsia"/>
            </w:rPr>
            <w:fldChar w:fldCharType="end"/>
          </w:r>
        </w:p>
        <w:p w14:paraId="661ED4BC">
          <w:pPr>
            <w:pStyle w:val="11"/>
            <w:tabs>
              <w:tab w:val="right" w:leader="dot" w:pos="8306"/>
              <w:tab w:val="clear" w:pos="8296"/>
            </w:tabs>
          </w:pPr>
          <w:r>
            <w:rPr>
              <w:rFonts w:hint="eastAsia"/>
            </w:rPr>
            <w:fldChar w:fldCharType="begin"/>
          </w:r>
          <w:r>
            <w:rPr>
              <w:rFonts w:hint="eastAsia"/>
            </w:rPr>
            <w:instrText xml:space="preserve"> HYPERLINK \l _Toc28376 </w:instrText>
          </w:r>
          <w:r>
            <w:rPr>
              <w:rFonts w:hint="eastAsia"/>
            </w:rPr>
            <w:fldChar w:fldCharType="separate"/>
          </w:r>
          <w:r>
            <w:rPr>
              <w:rFonts w:hint="eastAsia"/>
              <w:highlight w:val="none"/>
              <w:lang w:val="en-US" w:eastAsia="zh-CN"/>
            </w:rPr>
            <w:t>第一节 促进城乡深度融合发展</w:t>
          </w:r>
          <w:r>
            <w:tab/>
          </w:r>
          <w:r>
            <w:fldChar w:fldCharType="begin"/>
          </w:r>
          <w:r>
            <w:instrText xml:space="preserve"> PAGEREF _Toc28376 \h </w:instrText>
          </w:r>
          <w:r>
            <w:fldChar w:fldCharType="separate"/>
          </w:r>
          <w:r>
            <w:t>41</w:t>
          </w:r>
          <w:r>
            <w:fldChar w:fldCharType="end"/>
          </w:r>
          <w:r>
            <w:rPr>
              <w:rFonts w:hint="eastAsia"/>
            </w:rPr>
            <w:fldChar w:fldCharType="end"/>
          </w:r>
        </w:p>
        <w:p w14:paraId="1BF7F836">
          <w:pPr>
            <w:pStyle w:val="11"/>
            <w:tabs>
              <w:tab w:val="right" w:leader="dot" w:pos="8306"/>
              <w:tab w:val="clear" w:pos="8296"/>
            </w:tabs>
          </w:pPr>
          <w:r>
            <w:rPr>
              <w:rFonts w:hint="eastAsia"/>
            </w:rPr>
            <w:fldChar w:fldCharType="begin"/>
          </w:r>
          <w:r>
            <w:rPr>
              <w:rFonts w:hint="eastAsia"/>
            </w:rPr>
            <w:instrText xml:space="preserve"> HYPERLINK \l _Toc12636 </w:instrText>
          </w:r>
          <w:r>
            <w:rPr>
              <w:rFonts w:hint="eastAsia"/>
            </w:rPr>
            <w:fldChar w:fldCharType="separate"/>
          </w:r>
          <w:r>
            <w:rPr>
              <w:rFonts w:hint="eastAsia"/>
              <w:highlight w:val="none"/>
              <w:lang w:val="en-US" w:eastAsia="zh-CN"/>
            </w:rPr>
            <w:t>第二节 拓宽农民增收致富渠道</w:t>
          </w:r>
          <w:r>
            <w:tab/>
          </w:r>
          <w:r>
            <w:fldChar w:fldCharType="begin"/>
          </w:r>
          <w:r>
            <w:instrText xml:space="preserve"> PAGEREF _Toc12636 \h </w:instrText>
          </w:r>
          <w:r>
            <w:fldChar w:fldCharType="separate"/>
          </w:r>
          <w:r>
            <w:t>44</w:t>
          </w:r>
          <w:r>
            <w:fldChar w:fldCharType="end"/>
          </w:r>
          <w:r>
            <w:rPr>
              <w:rFonts w:hint="eastAsia"/>
            </w:rPr>
            <w:fldChar w:fldCharType="end"/>
          </w:r>
        </w:p>
        <w:p w14:paraId="34504E16">
          <w:pPr>
            <w:pStyle w:val="11"/>
            <w:tabs>
              <w:tab w:val="right" w:leader="dot" w:pos="8306"/>
              <w:tab w:val="clear" w:pos="8296"/>
            </w:tabs>
          </w:pPr>
          <w:r>
            <w:rPr>
              <w:rFonts w:hint="eastAsia"/>
            </w:rPr>
            <w:fldChar w:fldCharType="begin"/>
          </w:r>
          <w:r>
            <w:rPr>
              <w:rFonts w:hint="eastAsia"/>
            </w:rPr>
            <w:instrText xml:space="preserve"> HYPERLINK \l _Toc406 </w:instrText>
          </w:r>
          <w:r>
            <w:rPr>
              <w:rFonts w:hint="eastAsia"/>
            </w:rPr>
            <w:fldChar w:fldCharType="separate"/>
          </w:r>
          <w:r>
            <w:rPr>
              <w:rFonts w:hint="eastAsia"/>
              <w:highlight w:val="none"/>
              <w:lang w:val="en-US" w:eastAsia="zh-CN"/>
            </w:rPr>
            <w:t>第三节 加强农村人才培养开发</w:t>
          </w:r>
          <w:r>
            <w:tab/>
          </w:r>
          <w:r>
            <w:fldChar w:fldCharType="begin"/>
          </w:r>
          <w:r>
            <w:instrText xml:space="preserve"> PAGEREF _Toc406 \h </w:instrText>
          </w:r>
          <w:r>
            <w:fldChar w:fldCharType="separate"/>
          </w:r>
          <w:r>
            <w:t>45</w:t>
          </w:r>
          <w:r>
            <w:fldChar w:fldCharType="end"/>
          </w:r>
          <w:r>
            <w:rPr>
              <w:rFonts w:hint="eastAsia"/>
            </w:rPr>
            <w:fldChar w:fldCharType="end"/>
          </w:r>
        </w:p>
        <w:p w14:paraId="62458361">
          <w:pPr>
            <w:pStyle w:val="10"/>
            <w:tabs>
              <w:tab w:val="right" w:leader="dot" w:pos="8306"/>
              <w:tab w:val="clear" w:pos="8296"/>
            </w:tabs>
          </w:pPr>
          <w:r>
            <w:rPr>
              <w:rFonts w:hint="eastAsia"/>
            </w:rPr>
            <w:fldChar w:fldCharType="begin"/>
          </w:r>
          <w:r>
            <w:rPr>
              <w:rFonts w:hint="eastAsia"/>
            </w:rPr>
            <w:instrText xml:space="preserve"> HYPERLINK \l _Toc12936 </w:instrText>
          </w:r>
          <w:r>
            <w:rPr>
              <w:rFonts w:hint="eastAsia"/>
            </w:rPr>
            <w:fldChar w:fldCharType="separate"/>
          </w:r>
          <w:r>
            <w:rPr>
              <w:rFonts w:hint="eastAsia"/>
              <w:highlight w:val="none"/>
              <w:lang w:val="en-US" w:eastAsia="zh-CN"/>
            </w:rPr>
            <w:t>第六章 全面深化农业农村改革</w:t>
          </w:r>
          <w:r>
            <w:tab/>
          </w:r>
          <w:r>
            <w:fldChar w:fldCharType="begin"/>
          </w:r>
          <w:r>
            <w:instrText xml:space="preserve"> PAGEREF _Toc12936 \h </w:instrText>
          </w:r>
          <w:r>
            <w:fldChar w:fldCharType="separate"/>
          </w:r>
          <w:r>
            <w:t>48</w:t>
          </w:r>
          <w:r>
            <w:fldChar w:fldCharType="end"/>
          </w:r>
          <w:r>
            <w:rPr>
              <w:rFonts w:hint="eastAsia"/>
            </w:rPr>
            <w:fldChar w:fldCharType="end"/>
          </w:r>
        </w:p>
        <w:p w14:paraId="298FFB2A">
          <w:pPr>
            <w:pStyle w:val="11"/>
            <w:tabs>
              <w:tab w:val="right" w:leader="dot" w:pos="8306"/>
              <w:tab w:val="clear" w:pos="8296"/>
            </w:tabs>
          </w:pPr>
          <w:r>
            <w:rPr>
              <w:rFonts w:hint="eastAsia"/>
            </w:rPr>
            <w:fldChar w:fldCharType="begin"/>
          </w:r>
          <w:r>
            <w:rPr>
              <w:rFonts w:hint="eastAsia"/>
            </w:rPr>
            <w:instrText xml:space="preserve"> HYPERLINK \l _Toc16388 </w:instrText>
          </w:r>
          <w:r>
            <w:rPr>
              <w:rFonts w:hint="eastAsia"/>
            </w:rPr>
            <w:fldChar w:fldCharType="separate"/>
          </w:r>
          <w:r>
            <w:rPr>
              <w:rFonts w:hint="eastAsia"/>
              <w:lang w:val="en-US" w:eastAsia="zh-CN"/>
            </w:rPr>
            <w:t>第一节 巩固和完善集体产权制度</w:t>
          </w:r>
          <w:r>
            <w:tab/>
          </w:r>
          <w:r>
            <w:fldChar w:fldCharType="begin"/>
          </w:r>
          <w:r>
            <w:instrText xml:space="preserve"> PAGEREF _Toc16388 \h </w:instrText>
          </w:r>
          <w:r>
            <w:fldChar w:fldCharType="separate"/>
          </w:r>
          <w:r>
            <w:t>48</w:t>
          </w:r>
          <w:r>
            <w:fldChar w:fldCharType="end"/>
          </w:r>
          <w:r>
            <w:rPr>
              <w:rFonts w:hint="eastAsia"/>
            </w:rPr>
            <w:fldChar w:fldCharType="end"/>
          </w:r>
        </w:p>
        <w:p w14:paraId="62C3315F">
          <w:pPr>
            <w:pStyle w:val="11"/>
            <w:tabs>
              <w:tab w:val="right" w:leader="dot" w:pos="8306"/>
              <w:tab w:val="clear" w:pos="8296"/>
            </w:tabs>
          </w:pPr>
          <w:r>
            <w:rPr>
              <w:rFonts w:hint="eastAsia"/>
            </w:rPr>
            <w:fldChar w:fldCharType="begin"/>
          </w:r>
          <w:r>
            <w:rPr>
              <w:rFonts w:hint="eastAsia"/>
            </w:rPr>
            <w:instrText xml:space="preserve"> HYPERLINK \l _Toc26380 </w:instrText>
          </w:r>
          <w:r>
            <w:rPr>
              <w:rFonts w:hint="eastAsia"/>
            </w:rPr>
            <w:fldChar w:fldCharType="separate"/>
          </w:r>
          <w:r>
            <w:rPr>
              <w:rFonts w:hint="eastAsia"/>
              <w:lang w:val="en-US" w:eastAsia="zh-CN"/>
            </w:rPr>
            <w:t>第二节 深化农业农村综合改革</w:t>
          </w:r>
          <w:r>
            <w:tab/>
          </w:r>
          <w:r>
            <w:fldChar w:fldCharType="begin"/>
          </w:r>
          <w:r>
            <w:instrText xml:space="preserve"> PAGEREF _Toc26380 \h </w:instrText>
          </w:r>
          <w:r>
            <w:fldChar w:fldCharType="separate"/>
          </w:r>
          <w:r>
            <w:t>49</w:t>
          </w:r>
          <w:r>
            <w:fldChar w:fldCharType="end"/>
          </w:r>
          <w:r>
            <w:rPr>
              <w:rFonts w:hint="eastAsia"/>
            </w:rPr>
            <w:fldChar w:fldCharType="end"/>
          </w:r>
        </w:p>
        <w:p w14:paraId="635E8392">
          <w:pPr>
            <w:pStyle w:val="10"/>
            <w:tabs>
              <w:tab w:val="right" w:leader="dot" w:pos="8306"/>
              <w:tab w:val="clear" w:pos="8296"/>
            </w:tabs>
          </w:pPr>
          <w:r>
            <w:rPr>
              <w:rFonts w:hint="eastAsia"/>
            </w:rPr>
            <w:fldChar w:fldCharType="begin"/>
          </w:r>
          <w:r>
            <w:rPr>
              <w:rFonts w:hint="eastAsia"/>
            </w:rPr>
            <w:instrText xml:space="preserve"> HYPERLINK \l _Toc12848 </w:instrText>
          </w:r>
          <w:r>
            <w:rPr>
              <w:rFonts w:hint="eastAsia"/>
            </w:rPr>
            <w:fldChar w:fldCharType="separate"/>
          </w:r>
          <w:r>
            <w:rPr>
              <w:rFonts w:hint="eastAsia"/>
              <w:lang w:val="en-US" w:eastAsia="zh-CN"/>
            </w:rPr>
            <w:t>第七章 保障措施</w:t>
          </w:r>
          <w:r>
            <w:tab/>
          </w:r>
          <w:r>
            <w:fldChar w:fldCharType="begin"/>
          </w:r>
          <w:r>
            <w:instrText xml:space="preserve"> PAGEREF _Toc12848 \h </w:instrText>
          </w:r>
          <w:r>
            <w:fldChar w:fldCharType="separate"/>
          </w:r>
          <w:r>
            <w:t>52</w:t>
          </w:r>
          <w:r>
            <w:fldChar w:fldCharType="end"/>
          </w:r>
          <w:r>
            <w:rPr>
              <w:rFonts w:hint="eastAsia"/>
            </w:rPr>
            <w:fldChar w:fldCharType="end"/>
          </w:r>
        </w:p>
        <w:p w14:paraId="2B2A5A72">
          <w:pPr>
            <w:pStyle w:val="11"/>
            <w:tabs>
              <w:tab w:val="right" w:leader="dot" w:pos="8306"/>
              <w:tab w:val="clear" w:pos="8296"/>
            </w:tabs>
          </w:pPr>
          <w:r>
            <w:rPr>
              <w:rFonts w:hint="eastAsia"/>
            </w:rPr>
            <w:fldChar w:fldCharType="begin"/>
          </w:r>
          <w:r>
            <w:rPr>
              <w:rFonts w:hint="eastAsia"/>
            </w:rPr>
            <w:instrText xml:space="preserve"> HYPERLINK \l _Toc17407 </w:instrText>
          </w:r>
          <w:r>
            <w:rPr>
              <w:rFonts w:hint="eastAsia"/>
            </w:rPr>
            <w:fldChar w:fldCharType="separate"/>
          </w:r>
          <w:r>
            <w:rPr>
              <w:rFonts w:hint="eastAsia"/>
              <w:highlight w:val="none"/>
              <w:lang w:val="en-US" w:eastAsia="zh-CN"/>
            </w:rPr>
            <w:t xml:space="preserve">第一节 </w:t>
          </w:r>
          <w:r>
            <w:rPr>
              <w:highlight w:val="none"/>
            </w:rPr>
            <w:t>加强组织领导</w:t>
          </w:r>
          <w:r>
            <w:tab/>
          </w:r>
          <w:r>
            <w:fldChar w:fldCharType="begin"/>
          </w:r>
          <w:r>
            <w:instrText xml:space="preserve"> PAGEREF _Toc17407 \h </w:instrText>
          </w:r>
          <w:r>
            <w:fldChar w:fldCharType="separate"/>
          </w:r>
          <w:r>
            <w:t>52</w:t>
          </w:r>
          <w:r>
            <w:fldChar w:fldCharType="end"/>
          </w:r>
          <w:r>
            <w:rPr>
              <w:rFonts w:hint="eastAsia"/>
            </w:rPr>
            <w:fldChar w:fldCharType="end"/>
          </w:r>
        </w:p>
        <w:p w14:paraId="7308DA4A">
          <w:pPr>
            <w:pStyle w:val="11"/>
            <w:tabs>
              <w:tab w:val="right" w:leader="dot" w:pos="8306"/>
              <w:tab w:val="clear" w:pos="8296"/>
            </w:tabs>
          </w:pPr>
          <w:r>
            <w:rPr>
              <w:rFonts w:hint="eastAsia"/>
            </w:rPr>
            <w:fldChar w:fldCharType="begin"/>
          </w:r>
          <w:r>
            <w:rPr>
              <w:rFonts w:hint="eastAsia"/>
            </w:rPr>
            <w:instrText xml:space="preserve"> HYPERLINK \l _Toc22800 </w:instrText>
          </w:r>
          <w:r>
            <w:rPr>
              <w:rFonts w:hint="eastAsia"/>
            </w:rPr>
            <w:fldChar w:fldCharType="separate"/>
          </w:r>
          <w:r>
            <w:rPr>
              <w:rFonts w:hint="eastAsia"/>
              <w:highlight w:val="none"/>
              <w:lang w:val="en-US" w:eastAsia="zh-CN"/>
            </w:rPr>
            <w:t>第二节 强化要素支撑</w:t>
          </w:r>
          <w:r>
            <w:tab/>
          </w:r>
          <w:r>
            <w:fldChar w:fldCharType="begin"/>
          </w:r>
          <w:r>
            <w:instrText xml:space="preserve"> PAGEREF _Toc22800 \h </w:instrText>
          </w:r>
          <w:r>
            <w:fldChar w:fldCharType="separate"/>
          </w:r>
          <w:r>
            <w:t>52</w:t>
          </w:r>
          <w:r>
            <w:fldChar w:fldCharType="end"/>
          </w:r>
          <w:r>
            <w:rPr>
              <w:rFonts w:hint="eastAsia"/>
            </w:rPr>
            <w:fldChar w:fldCharType="end"/>
          </w:r>
        </w:p>
        <w:p w14:paraId="22C8732B">
          <w:pPr>
            <w:pStyle w:val="11"/>
            <w:tabs>
              <w:tab w:val="right" w:leader="dot" w:pos="8306"/>
              <w:tab w:val="clear" w:pos="8296"/>
            </w:tabs>
          </w:pPr>
          <w:r>
            <w:rPr>
              <w:rFonts w:hint="eastAsia"/>
            </w:rPr>
            <w:fldChar w:fldCharType="begin"/>
          </w:r>
          <w:r>
            <w:rPr>
              <w:rFonts w:hint="eastAsia"/>
            </w:rPr>
            <w:instrText xml:space="preserve"> HYPERLINK \l _Toc3538 </w:instrText>
          </w:r>
          <w:r>
            <w:rPr>
              <w:rFonts w:hint="eastAsia"/>
            </w:rPr>
            <w:fldChar w:fldCharType="separate"/>
          </w:r>
          <w:r>
            <w:rPr>
              <w:rFonts w:hint="eastAsia"/>
              <w:highlight w:val="none"/>
              <w:lang w:val="en-US" w:eastAsia="zh-CN"/>
            </w:rPr>
            <w:t>第三节 完善实施保障</w:t>
          </w:r>
          <w:r>
            <w:tab/>
          </w:r>
          <w:r>
            <w:fldChar w:fldCharType="begin"/>
          </w:r>
          <w:r>
            <w:instrText xml:space="preserve"> PAGEREF _Toc3538 \h </w:instrText>
          </w:r>
          <w:r>
            <w:fldChar w:fldCharType="separate"/>
          </w:r>
          <w:r>
            <w:t>54</w:t>
          </w:r>
          <w:r>
            <w:fldChar w:fldCharType="end"/>
          </w:r>
          <w:r>
            <w:rPr>
              <w:rFonts w:hint="eastAsia"/>
            </w:rPr>
            <w:fldChar w:fldCharType="end"/>
          </w:r>
        </w:p>
        <w:p w14:paraId="710473C2">
          <w:pPr>
            <w:pStyle w:val="10"/>
            <w:tabs>
              <w:tab w:val="right" w:leader="dot" w:pos="8306"/>
              <w:tab w:val="clear" w:pos="8296"/>
            </w:tabs>
          </w:pPr>
          <w:r>
            <w:rPr>
              <w:rFonts w:hint="eastAsia"/>
            </w:rPr>
            <w:fldChar w:fldCharType="begin"/>
          </w:r>
          <w:r>
            <w:rPr>
              <w:rFonts w:hint="eastAsia"/>
            </w:rPr>
            <w:instrText xml:space="preserve"> HYPERLINK \l _Toc22875 </w:instrText>
          </w:r>
          <w:r>
            <w:rPr>
              <w:rFonts w:hint="eastAsia"/>
            </w:rPr>
            <w:fldChar w:fldCharType="separate"/>
          </w:r>
          <w:r>
            <w:rPr>
              <w:rFonts w:hint="eastAsia" w:ascii="Times New Roman" w:hAnsi="Times New Roman" w:cs="Times New Roman"/>
              <w:lang w:val="en-US" w:eastAsia="zh-CN"/>
            </w:rPr>
            <w:t>附件</w:t>
          </w:r>
          <w:r>
            <w:tab/>
          </w:r>
          <w:r>
            <w:fldChar w:fldCharType="begin"/>
          </w:r>
          <w:r>
            <w:instrText xml:space="preserve"> PAGEREF _Toc22875 \h </w:instrText>
          </w:r>
          <w:r>
            <w:fldChar w:fldCharType="separate"/>
          </w:r>
          <w:r>
            <w:t>55</w:t>
          </w:r>
          <w:r>
            <w:fldChar w:fldCharType="end"/>
          </w:r>
          <w:r>
            <w:rPr>
              <w:rFonts w:hint="eastAsia"/>
            </w:rPr>
            <w:fldChar w:fldCharType="end"/>
          </w:r>
        </w:p>
        <w:p w14:paraId="12B425D4">
          <w:pPr>
            <w:pStyle w:val="11"/>
            <w:tabs>
              <w:tab w:val="right" w:leader="dot" w:pos="8306"/>
              <w:tab w:val="clear" w:pos="8296"/>
            </w:tabs>
          </w:pPr>
          <w:r>
            <w:rPr>
              <w:rFonts w:hint="eastAsia"/>
            </w:rPr>
            <w:fldChar w:fldCharType="begin"/>
          </w:r>
          <w:r>
            <w:rPr>
              <w:rFonts w:hint="eastAsia"/>
            </w:rPr>
            <w:instrText xml:space="preserve"> HYPERLINK \l _Toc10306 </w:instrText>
          </w:r>
          <w:r>
            <w:rPr>
              <w:rFonts w:hint="eastAsia"/>
            </w:rPr>
            <w:fldChar w:fldCharType="separate"/>
          </w:r>
          <w:r>
            <w:rPr>
              <w:rFonts w:hint="eastAsia"/>
              <w:bCs/>
              <w:highlight w:val="none"/>
              <w:lang w:val="en-US" w:eastAsia="zh-CN"/>
            </w:rPr>
            <w:t>“十五五”期间农业农村重点建设项目</w:t>
          </w:r>
          <w:r>
            <w:tab/>
          </w:r>
          <w:r>
            <w:fldChar w:fldCharType="begin"/>
          </w:r>
          <w:r>
            <w:instrText xml:space="preserve"> PAGEREF _Toc10306 \h </w:instrText>
          </w:r>
          <w:r>
            <w:fldChar w:fldCharType="separate"/>
          </w:r>
          <w:r>
            <w:t>55</w:t>
          </w:r>
          <w:r>
            <w:fldChar w:fldCharType="end"/>
          </w:r>
          <w:r>
            <w:rPr>
              <w:rFonts w:hint="eastAsia"/>
            </w:rPr>
            <w:fldChar w:fldCharType="end"/>
          </w:r>
        </w:p>
        <w:p w14:paraId="7FA3DB6D">
          <w:pPr>
            <w:pStyle w:val="13"/>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宋体" w:cs="Times New Roman"/>
              <w:color w:val="auto"/>
              <w:kern w:val="2"/>
              <w:sz w:val="21"/>
              <w:szCs w:val="22"/>
              <w:lang w:val="en-US" w:eastAsia="zh-CN" w:bidi="ar-SA"/>
            </w:rPr>
          </w:pPr>
          <w:r>
            <w:rPr>
              <w:rFonts w:hint="eastAsia"/>
            </w:rPr>
            <w:fldChar w:fldCharType="end"/>
          </w:r>
        </w:p>
      </w:sdtContent>
    </w:sdt>
    <w:p w14:paraId="7280C1BA">
      <w:pPr>
        <w:pStyle w:val="13"/>
        <w:rPr>
          <w:rFonts w:hint="eastAsia"/>
        </w:rPr>
        <w:sectPr>
          <w:footerReference r:id="rId6" w:type="default"/>
          <w:pgSz w:w="11906" w:h="16838"/>
          <w:pgMar w:top="1440" w:right="1800" w:bottom="1440" w:left="1800" w:header="851" w:footer="992" w:gutter="0"/>
          <w:pgNumType w:fmt="upperRoman" w:start="1"/>
          <w:cols w:space="425" w:num="1"/>
          <w:docGrid w:type="lines" w:linePitch="312" w:charSpace="0"/>
        </w:sectPr>
      </w:pPr>
    </w:p>
    <w:p w14:paraId="558A693E">
      <w:pPr>
        <w:pStyle w:val="3"/>
        <w:bidi w:val="0"/>
      </w:pPr>
      <w:bookmarkStart w:id="0" w:name="_Toc29066"/>
      <w:bookmarkStart w:id="1" w:name="_Toc901"/>
      <w:bookmarkStart w:id="2" w:name="_Toc4379"/>
      <w:bookmarkStart w:id="3" w:name="_Toc22279"/>
      <w:bookmarkStart w:id="4" w:name="_Toc16484"/>
      <w:r>
        <w:fldChar w:fldCharType="begin"/>
      </w:r>
      <w:r>
        <w:instrText xml:space="preserve"> HYPERLINK \l _Toc29585 </w:instrText>
      </w:r>
      <w:r>
        <w:fldChar w:fldCharType="separate"/>
      </w:r>
      <w:r>
        <w:rPr>
          <w:rFonts w:hint="eastAsia"/>
        </w:rPr>
        <w:t>第一章 发展基础与形势分析</w:t>
      </w:r>
      <w:r>
        <w:fldChar w:fldCharType="end"/>
      </w:r>
      <w:bookmarkEnd w:id="0"/>
      <w:bookmarkEnd w:id="1"/>
      <w:bookmarkEnd w:id="2"/>
      <w:bookmarkEnd w:id="3"/>
      <w:bookmarkEnd w:id="4"/>
    </w:p>
    <w:p w14:paraId="7744675A">
      <w:pPr>
        <w:pStyle w:val="4"/>
        <w:bidi w:val="0"/>
      </w:pPr>
      <w:bookmarkStart w:id="5" w:name="_Toc2174"/>
      <w:bookmarkStart w:id="6" w:name="_Toc28497"/>
      <w:bookmarkStart w:id="7" w:name="_Toc30981"/>
      <w:bookmarkStart w:id="8" w:name="_Toc26613"/>
      <w:bookmarkStart w:id="9" w:name="_Toc27663"/>
      <w:r>
        <w:fldChar w:fldCharType="begin"/>
      </w:r>
      <w:r>
        <w:instrText xml:space="preserve"> HYPERLINK \l _Toc18482 </w:instrText>
      </w:r>
      <w:r>
        <w:fldChar w:fldCharType="separate"/>
      </w:r>
      <w:r>
        <w:rPr>
          <w:rFonts w:hint="eastAsia"/>
        </w:rPr>
        <w:t>第一节 发展基础</w:t>
      </w:r>
      <w:r>
        <w:fldChar w:fldCharType="end"/>
      </w:r>
      <w:bookmarkEnd w:id="5"/>
      <w:bookmarkEnd w:id="6"/>
      <w:bookmarkEnd w:id="7"/>
      <w:bookmarkEnd w:id="8"/>
      <w:bookmarkEnd w:id="9"/>
    </w:p>
    <w:p w14:paraId="1A738CE1">
      <w:pPr>
        <w:ind w:firstLine="420"/>
        <w:rPr>
          <w:rFonts w:hint="eastAsia"/>
          <w:color w:val="auto"/>
          <w:lang w:val="en-US" w:eastAsia="zh-CN"/>
        </w:rPr>
      </w:pPr>
      <w:r>
        <w:rPr>
          <w:rFonts w:hint="eastAsia"/>
          <w:lang w:eastAsia="zh-CN"/>
        </w:rPr>
        <w:t>“</w:t>
      </w:r>
      <w:r>
        <w:rPr>
          <w:rFonts w:hint="eastAsia"/>
          <w:color w:val="auto"/>
          <w:lang w:val="en-US" w:eastAsia="zh-CN"/>
        </w:rPr>
        <w:t>十四五”时期，海陵区认真贯彻落实党中央、国务院关于农业发展的决策部署和省市工作要求，加快农业农村现代化进程，农业基础持续稳固，粮食和重要农产品供给保障有力，质量效益与竞争力显著增强，乡村面貌焕然一新，农民获得感、幸福感、安全感稳步提升，成功走出一条具有海陵特色的乡村振兴之路，为“幸福海陵”现代化建设作出了重要贡献。</w:t>
      </w:r>
    </w:p>
    <w:p w14:paraId="165E9248">
      <w:pPr>
        <w:ind w:firstLine="420"/>
        <w:rPr>
          <w:rFonts w:hint="eastAsia"/>
          <w:color w:val="auto"/>
          <w:lang w:val="en-US" w:eastAsia="zh-CN"/>
        </w:rPr>
      </w:pPr>
      <w:r>
        <w:rPr>
          <w:rFonts w:hint="eastAsia" w:ascii="仿宋" w:hAnsi="仿宋" w:cs="仿宋"/>
          <w:b/>
          <w:bCs/>
          <w:color w:val="auto"/>
          <w:sz w:val="32"/>
          <w:szCs w:val="32"/>
          <w:lang w:val="en-US" w:eastAsia="zh-CN"/>
        </w:rPr>
        <w:t>农业生产能力持续增强。</w:t>
      </w:r>
      <w:r>
        <w:rPr>
          <w:rFonts w:hint="eastAsia"/>
          <w:color w:val="auto"/>
          <w:lang w:val="en-US" w:eastAsia="zh-CN"/>
        </w:rPr>
        <w:t>2025年，全区实现农林牧渔业总产值27.84亿元，同比增长2.15%。粮食生产保持稳定，全年播种面积19.15万亩，总产量超过9.1万吨，实现“吨良田”目标，粮食生产实现“二十连丰”；蔬菜种植面积稳定在8.6万亩以上；生猪生产“逆周期”调控有效，全年出栏6.10万头以上；水产养殖稳步发展，完成池塘标准化改造249亩，水产养殖面积稳定在3万亩以上，其中特色（优质）水产面积稳定在2万亩以上，水产品产量达1.4万吨。截至</w:t>
      </w:r>
      <w:r>
        <w:rPr>
          <w:rFonts w:hint="eastAsia"/>
          <w:color w:val="auto"/>
          <w:highlight w:val="none"/>
          <w:lang w:val="en-US" w:eastAsia="zh-CN"/>
        </w:rPr>
        <w:t>2025年底，全区已建成高标准农田10.47万亩，</w:t>
      </w:r>
      <w:r>
        <w:rPr>
          <w:rFonts w:hint="eastAsia"/>
          <w:color w:val="auto"/>
          <w:lang w:val="en-US" w:eastAsia="zh-CN"/>
        </w:rPr>
        <w:t>累计建成高效农业10.44万亩、设施农业5.36万亩，分别占耕地面积的72.22%、36.97%；拥有万亩良田稻麦综合示范基地1个、万亩无公害蔬菜基地2个、规模化养殖场16个，农产品供给能力稳步提升。质量安全监管持续加强，农产品产地准出与市场准入有效衔接，全年质量检测合格率达到100%。</w:t>
      </w:r>
    </w:p>
    <w:p w14:paraId="2792F352">
      <w:pPr>
        <w:ind w:firstLine="420"/>
        <w:rPr>
          <w:rFonts w:hint="eastAsia"/>
          <w:color w:val="auto"/>
          <w:lang w:val="en-US" w:eastAsia="zh-CN"/>
        </w:rPr>
      </w:pPr>
      <w:r>
        <w:rPr>
          <w:rFonts w:hint="eastAsia"/>
          <w:b/>
          <w:bCs/>
          <w:color w:val="auto"/>
          <w:lang w:val="en-US" w:eastAsia="zh-CN"/>
        </w:rPr>
        <w:t>名优特色产业焕发活力。</w:t>
      </w:r>
      <w:r>
        <w:rPr>
          <w:rFonts w:hint="eastAsia"/>
          <w:b w:val="0"/>
          <w:bCs w:val="0"/>
          <w:color w:val="auto"/>
          <w:lang w:val="en-US" w:eastAsia="zh-CN"/>
        </w:rPr>
        <w:t>全区积极发展高档花卉产业，规模化</w:t>
      </w:r>
      <w:r>
        <w:rPr>
          <w:rFonts w:hint="eastAsia"/>
          <w:color w:val="auto"/>
          <w:lang w:val="en-US" w:eastAsia="zh-CN"/>
        </w:rPr>
        <w:t>培育红掌、凤梨、蝴蝶兰等种苗种球及盆栽花卉，支持苏中园艺、一鸣花卉等重点企业做大做强，综合年产值近2亿元。“弘梅”糕点获评省级老字号，梅香食品、润乡米业、油恒公司等企业产品获得绿色产品、有机食品认证。通过“阳光食坊”升级行动，推动传统糕点生产从小作坊向标准化、品牌化转型，完成全区51家食品小作坊改造提升，其中斜桥酱鸭、金火汤圆等品牌通过设备更新和工艺优化，获评江苏省“名特优”食品小作坊。新生代代表文酉糕团将传统制作技艺与文旅融合，其非遗技艺视频在海外平台播放量超过百万次，产品溢价达20%以上，年销售额突破百万元，实现了老字号品牌焕新与市场突围。</w:t>
      </w:r>
    </w:p>
    <w:p w14:paraId="408703C2">
      <w:pPr>
        <w:spacing w:line="360" w:lineRule="auto"/>
        <w:rPr>
          <w:rFonts w:hint="default" w:eastAsia="仿宋"/>
          <w:color w:val="auto"/>
          <w:lang w:val="en-US" w:eastAsia="zh-CN"/>
        </w:rPr>
      </w:pPr>
      <w:r>
        <w:rPr>
          <w:rFonts w:hint="eastAsia" w:eastAsia="仿宋" w:cs="Times New Roman"/>
          <w:b/>
          <w:bCs/>
          <w:color w:val="auto"/>
          <w:sz w:val="32"/>
          <w:szCs w:val="32"/>
          <w:highlight w:val="none"/>
          <w:lang w:val="en-US" w:eastAsia="zh-CN"/>
        </w:rPr>
        <w:t>科技装备</w:t>
      </w:r>
      <w:r>
        <w:rPr>
          <w:rFonts w:hint="eastAsia" w:cs="Times New Roman"/>
          <w:b/>
          <w:bCs/>
          <w:color w:val="auto"/>
          <w:sz w:val="32"/>
          <w:szCs w:val="32"/>
          <w:highlight w:val="none"/>
          <w:lang w:val="en-US" w:eastAsia="zh-CN"/>
        </w:rPr>
        <w:t>水平显著提升。</w:t>
      </w:r>
      <w:r>
        <w:rPr>
          <w:rFonts w:hint="eastAsia"/>
          <w:color w:val="auto"/>
          <w:lang w:val="en-US" w:eastAsia="zh-CN"/>
        </w:rPr>
        <w:t>截至2025年，全区农机总动力达10.2万千瓦，主要农作物生产全程机械化水平超过95%，拥有畜禽养殖全程机械化示范场2个，水产养殖全程机械化示范基地2个，特粮特经生产全程机械化示范基地2个。先后建成国家农业科学实验站1个、农业农村部企业重点实验室（基地）2个、省级工程研发中心6个、省级公共研发服务平台3个及省级重点实验室1个。建成国家级水禽基因库、国家级姜曲海猪保种场、江苏丰达水禽育种场等重要平台，其中国家水禽基因库保种资源36个，保存鸭、鹅等水禽品种占全国的53.7%。年生产中华绒螯蟹种苗4万公斤，占全国市场份额的15%，水禽、水产、水稻和高档花卉“三水一花”特色种业优势持续放大。</w:t>
      </w:r>
    </w:p>
    <w:p w14:paraId="60AF6A77">
      <w:pPr>
        <w:spacing w:line="360" w:lineRule="auto"/>
        <w:rPr>
          <w:rFonts w:hint="eastAsia"/>
          <w:color w:val="auto"/>
          <w:lang w:val="en-US" w:eastAsia="zh-CN"/>
        </w:rPr>
      </w:pPr>
      <w:r>
        <w:rPr>
          <w:rFonts w:hint="eastAsia" w:ascii="仿宋" w:hAnsi="仿宋" w:cs="仿宋"/>
          <w:b/>
          <w:bCs/>
          <w:color w:val="auto"/>
          <w:sz w:val="32"/>
          <w:szCs w:val="32"/>
          <w:highlight w:val="none"/>
          <w:lang w:val="en-US" w:eastAsia="zh-CN"/>
        </w:rPr>
        <w:t>现代经营体系不断完善。</w:t>
      </w:r>
      <w:r>
        <w:rPr>
          <w:rFonts w:hint="eastAsia"/>
          <w:color w:val="auto"/>
          <w:lang w:val="en-US" w:eastAsia="zh-CN"/>
        </w:rPr>
        <w:t>截至2025年，全区共有市级农业产业化联合体5个、龙头企业32家；累计培育市级以上家庭农场59家、农业专业合作社21家、家庭农场服务联盟2个。建成农民培训中心2个、农产品检测中心3个、农业咨询服务中心2个、现代农业及农产品展示中心和电商发展中心4个。品牌建设成效明显，打造“泰州种业”“陵选”2个全域公共品牌，培育“泰”字号种业品牌7个以上、“海”字号农产品品牌14个以上，绿色优质农产品比重稳步提升</w:t>
      </w:r>
      <w:r>
        <w:rPr>
          <w:rFonts w:hint="default"/>
          <w:color w:val="auto"/>
          <w:lang w:val="en-US" w:eastAsia="zh-CN"/>
        </w:rPr>
        <w:t>。</w:t>
      </w:r>
      <w:r>
        <w:rPr>
          <w:rFonts w:hint="eastAsia"/>
          <w:color w:val="auto"/>
          <w:lang w:val="en-US" w:eastAsia="zh-CN"/>
        </w:rPr>
        <w:t>牵头</w:t>
      </w:r>
      <w:r>
        <w:rPr>
          <w:rFonts w:hint="eastAsia"/>
          <w:color w:val="auto"/>
        </w:rPr>
        <w:t>组建全国首家地级市为农服务专业团体</w:t>
      </w:r>
      <w:r>
        <w:rPr>
          <w:rFonts w:hint="eastAsia"/>
          <w:color w:val="auto"/>
          <w:lang w:eastAsia="zh-CN"/>
        </w:rPr>
        <w:t>——</w:t>
      </w:r>
      <w:r>
        <w:rPr>
          <w:rFonts w:hint="eastAsia"/>
          <w:color w:val="auto"/>
        </w:rPr>
        <w:t>泰州市家庭农场服务联盟，为</w:t>
      </w:r>
      <w:r>
        <w:rPr>
          <w:rFonts w:hint="eastAsia"/>
          <w:color w:val="auto"/>
          <w:lang w:val="en-US" w:eastAsia="zh-CN"/>
        </w:rPr>
        <w:t>各类</w:t>
      </w:r>
      <w:r>
        <w:rPr>
          <w:rFonts w:hint="eastAsia"/>
          <w:color w:val="auto"/>
        </w:rPr>
        <w:t>经营主体提供一站式、全链条社会化服务，有力支撑现代农业发展。</w:t>
      </w:r>
    </w:p>
    <w:p w14:paraId="368CEF13">
      <w:pPr>
        <w:spacing w:line="360" w:lineRule="auto"/>
        <w:rPr>
          <w:rFonts w:hint="eastAsia"/>
          <w:color w:val="auto"/>
          <w:lang w:val="en-US" w:eastAsia="zh-CN"/>
        </w:rPr>
      </w:pPr>
      <w:r>
        <w:rPr>
          <w:rFonts w:hint="eastAsia" w:eastAsia="仿宋" w:cs="Times New Roman"/>
          <w:b/>
          <w:bCs/>
          <w:color w:val="auto"/>
          <w:sz w:val="32"/>
          <w:szCs w:val="32"/>
          <w:highlight w:val="none"/>
          <w:lang w:val="en-US" w:eastAsia="zh-CN"/>
        </w:rPr>
        <w:t>休闲农业</w:t>
      </w:r>
      <w:r>
        <w:rPr>
          <w:rFonts w:hint="eastAsia" w:cs="Times New Roman"/>
          <w:b/>
          <w:bCs/>
          <w:color w:val="auto"/>
          <w:sz w:val="32"/>
          <w:szCs w:val="32"/>
          <w:highlight w:val="none"/>
          <w:lang w:val="en-US" w:eastAsia="zh-CN"/>
        </w:rPr>
        <w:t>实现提档升级。</w:t>
      </w:r>
      <w:r>
        <w:rPr>
          <w:rFonts w:hint="eastAsia"/>
          <w:color w:val="auto"/>
        </w:rPr>
        <w:t>立足</w:t>
      </w:r>
      <w:r>
        <w:rPr>
          <w:rFonts w:hint="eastAsia"/>
          <w:color w:val="auto"/>
          <w:lang w:eastAsia="zh-CN"/>
        </w:rPr>
        <w:t>“</w:t>
      </w:r>
      <w:r>
        <w:rPr>
          <w:rFonts w:hint="eastAsia"/>
          <w:color w:val="auto"/>
        </w:rPr>
        <w:t>都市城郊型农业</w:t>
      </w:r>
      <w:r>
        <w:rPr>
          <w:rFonts w:hint="eastAsia"/>
          <w:color w:val="auto"/>
          <w:lang w:eastAsia="zh-CN"/>
        </w:rPr>
        <w:t>”</w:t>
      </w:r>
      <w:r>
        <w:rPr>
          <w:rFonts w:hint="eastAsia"/>
          <w:color w:val="auto"/>
        </w:rPr>
        <w:t>定位，</w:t>
      </w:r>
      <w:r>
        <w:rPr>
          <w:rFonts w:hint="eastAsia"/>
          <w:color w:val="auto"/>
          <w:lang w:val="en-US" w:eastAsia="zh-CN"/>
        </w:rPr>
        <w:t>围绕</w:t>
      </w:r>
      <w:r>
        <w:rPr>
          <w:rFonts w:hint="eastAsia"/>
          <w:color w:val="auto"/>
          <w:lang w:eastAsia="zh-CN"/>
        </w:rPr>
        <w:t>“</w:t>
      </w:r>
      <w:r>
        <w:rPr>
          <w:rFonts w:hint="eastAsia"/>
          <w:color w:val="auto"/>
        </w:rPr>
        <w:t>产业示范园、乡村片区化、农文旅融合</w:t>
      </w:r>
      <w:r>
        <w:rPr>
          <w:rFonts w:hint="eastAsia"/>
          <w:color w:val="auto"/>
          <w:lang w:eastAsia="zh-CN"/>
        </w:rPr>
        <w:t>”</w:t>
      </w:r>
      <w:r>
        <w:rPr>
          <w:rFonts w:hint="eastAsia"/>
          <w:color w:val="auto"/>
        </w:rPr>
        <w:t>发展思路，</w:t>
      </w:r>
      <w:r>
        <w:rPr>
          <w:rFonts w:hint="eastAsia"/>
          <w:color w:val="auto"/>
          <w:lang w:val="en-US" w:eastAsia="zh-CN"/>
        </w:rPr>
        <w:t>着力优化</w:t>
      </w:r>
      <w:r>
        <w:rPr>
          <w:rFonts w:hint="eastAsia"/>
          <w:color w:val="auto"/>
          <w:lang w:eastAsia="zh-CN"/>
        </w:rPr>
        <w:t>“</w:t>
      </w:r>
      <w:r>
        <w:rPr>
          <w:rFonts w:hint="eastAsia"/>
          <w:color w:val="auto"/>
        </w:rPr>
        <w:t>一轴两极</w:t>
      </w:r>
      <w:r>
        <w:rPr>
          <w:rFonts w:hint="eastAsia"/>
          <w:color w:val="auto"/>
          <w:lang w:eastAsia="zh-CN"/>
        </w:rPr>
        <w:t>”</w:t>
      </w:r>
      <w:r>
        <w:rPr>
          <w:rFonts w:hint="eastAsia"/>
          <w:color w:val="auto"/>
        </w:rPr>
        <w:t>产业布局，打造现代农业高地、北部生态走廊、休闲旅游后花园和生态振兴样板。</w:t>
      </w:r>
      <w:r>
        <w:rPr>
          <w:rFonts w:hint="eastAsia"/>
          <w:color w:val="auto"/>
          <w:lang w:val="en-US" w:eastAsia="zh-CN"/>
        </w:rPr>
        <w:t>聚焦</w:t>
      </w:r>
      <w:r>
        <w:rPr>
          <w:rFonts w:hint="eastAsia"/>
          <w:color w:val="auto"/>
        </w:rPr>
        <w:t>泰州城北生态经济带建设，</w:t>
      </w:r>
      <w:r>
        <w:rPr>
          <w:rFonts w:hint="eastAsia"/>
          <w:color w:val="auto"/>
          <w:lang w:val="en-US" w:eastAsia="zh-CN"/>
        </w:rPr>
        <w:t>积极</w:t>
      </w:r>
      <w:r>
        <w:rPr>
          <w:rFonts w:hint="eastAsia"/>
          <w:color w:val="auto"/>
        </w:rPr>
        <w:t>培育休闲农业旅游新业态，</w:t>
      </w:r>
      <w:r>
        <w:rPr>
          <w:rFonts w:hint="eastAsia"/>
          <w:color w:val="auto"/>
          <w:lang w:val="en-US" w:eastAsia="zh-CN"/>
        </w:rPr>
        <w:t>深入挖掘唐甸庙会文化、罡门花文化、渔行水村红色文化、上溪垎岸水文化、麒麟吉祥文化等本土资源，依托罡南特色田园乡村，着力打造“罡门—纯垛风景带”，激发乡村旅游发展动能。整合华港、罡杨、海陵农业园区、城东街道等连片农业资源，建设北部生态康养休闲带；以麒麟大道为纽带，串联秋雪湖生态景区、麒麟湾生态园、香草湾主题庄园、罡杨鲜花产业园、华港“多彩垎岸”等节点，打造集田园观光、农业科普、休闲娱乐为一体的产业化农旅融合线路。</w:t>
      </w:r>
    </w:p>
    <w:p w14:paraId="33B85DB5">
      <w:pPr>
        <w:widowControl/>
        <w:spacing w:line="360" w:lineRule="auto"/>
        <w:ind w:firstLine="643" w:firstLineChars="200"/>
        <w:rPr>
          <w:rFonts w:hint="default" w:eastAsia="仿宋" w:cs="Times New Roman"/>
          <w:b w:val="0"/>
          <w:bCs w:val="0"/>
          <w:color w:val="auto"/>
          <w:sz w:val="32"/>
          <w:szCs w:val="32"/>
          <w:lang w:val="en-US" w:eastAsia="zh-CN"/>
        </w:rPr>
      </w:pPr>
      <w:r>
        <w:rPr>
          <w:rFonts w:hint="eastAsia" w:cs="Times New Roman"/>
          <w:b/>
          <w:bCs/>
          <w:color w:val="auto"/>
          <w:sz w:val="32"/>
          <w:szCs w:val="32"/>
          <w:lang w:val="en-US" w:eastAsia="zh-CN"/>
        </w:rPr>
        <w:t>和美</w:t>
      </w:r>
      <w:r>
        <w:rPr>
          <w:rFonts w:hint="eastAsia" w:eastAsia="仿宋" w:cs="Times New Roman"/>
          <w:b/>
          <w:bCs/>
          <w:color w:val="auto"/>
          <w:sz w:val="32"/>
          <w:szCs w:val="32"/>
          <w:lang w:val="en-US" w:eastAsia="zh-CN"/>
        </w:rPr>
        <w:t>乡村建设稳步推进</w:t>
      </w:r>
      <w:r>
        <w:rPr>
          <w:rFonts w:hint="eastAsia" w:cs="Times New Roman"/>
          <w:b/>
          <w:bCs/>
          <w:color w:val="auto"/>
          <w:sz w:val="32"/>
          <w:szCs w:val="32"/>
          <w:lang w:val="en-US" w:eastAsia="zh-CN"/>
        </w:rPr>
        <w:t>。</w:t>
      </w:r>
      <w:r>
        <w:rPr>
          <w:rFonts w:hint="eastAsia"/>
          <w:color w:val="auto"/>
          <w:lang w:val="en-US" w:eastAsia="zh-CN"/>
        </w:rPr>
        <w:t>“十四五”以来，全区持续完善农村基础设施，加快“四好农村路”建设，基本实现硬化道路“户户通”；实施灌区节水改造与农村河道系统治理，水利条件不断改善。</w:t>
      </w:r>
      <w:r>
        <w:rPr>
          <w:rFonts w:hint="eastAsia" w:cs="Times New Roman"/>
          <w:b w:val="0"/>
          <w:bCs w:val="0"/>
          <w:color w:val="auto"/>
          <w:sz w:val="32"/>
          <w:szCs w:val="32"/>
          <w:lang w:val="en-US" w:eastAsia="zh-CN"/>
        </w:rPr>
        <w:t>人居环境整治成效明显，截至2025年，无害化卫生户厕覆盖率超过90%，实现公厕全覆盖；行政村生活污水处理设施覆盖率100%，生活污水治理率达90%，位居全市前列。累计创成省级绿美村庄、宜居宜业和美乡村15个，城北生态经济带获批市乡村振兴重点片区。城乡公共服务体系日趋完善，全区乡镇学校均达到省义务教育学校标准化监测要求，镇（街道）、村（社区）医保服务平台全部建成。村（社区）基层综合性文化服务中心实现全覆盖，农村综合服务能力稳步提升。</w:t>
      </w:r>
    </w:p>
    <w:p w14:paraId="10FE3581">
      <w:pPr>
        <w:ind w:firstLine="420"/>
        <w:rPr>
          <w:rFonts w:hint="eastAsia"/>
          <w:color w:val="auto"/>
          <w:lang w:val="en-US" w:eastAsia="zh-CN"/>
        </w:rPr>
      </w:pPr>
      <w:r>
        <w:rPr>
          <w:rFonts w:hint="default"/>
          <w:b/>
          <w:bCs/>
          <w:color w:val="auto"/>
          <w:lang w:val="en-US" w:eastAsia="zh-CN"/>
        </w:rPr>
        <w:t>乡村善治水平持续</w:t>
      </w:r>
      <w:r>
        <w:rPr>
          <w:rFonts w:hint="eastAsia"/>
          <w:b/>
          <w:bCs/>
          <w:color w:val="auto"/>
          <w:lang w:val="en-US" w:eastAsia="zh-CN"/>
        </w:rPr>
        <w:t>提升。</w:t>
      </w:r>
      <w:r>
        <w:rPr>
          <w:rFonts w:hint="eastAsia"/>
          <w:color w:val="auto"/>
          <w:lang w:val="en-US" w:eastAsia="zh-CN"/>
        </w:rPr>
        <w:t>选优配强村党组织书记，充实乡村振兴一线力量，创新设立农村“党员堂屋”，构建村小组级“议大事、办实事、解难事”的乡村善治新模式。健全村级议事协商制度，深化民主选举、民主评议与民主监督，试点推广基层治理“清单制”“积分制”。建成乡风文明、家风家训等主题游园42个、广场30个、街巷106条，推动文明新风吹入日常。强化移风易俗宣传引导，围绕乡风文明创作公民道德小剧2部，组织基层巡演13场，将文明礼仪教育融入城乡生产生活场景，推动移风易俗落地生根。持续深化文明家庭、文明村镇创建，姚家社区、莲花社区、唐甸村、东楼村先后被评为全国文明单位、文明村。</w:t>
      </w:r>
    </w:p>
    <w:p w14:paraId="3A796B77">
      <w:pPr>
        <w:keepNext w:val="0"/>
        <w:keepLines w:val="0"/>
        <w:pageBreakBefore w:val="0"/>
        <w:widowControl/>
        <w:kinsoku/>
        <w:wordWrap/>
        <w:overflowPunct/>
        <w:topLinePunct w:val="0"/>
        <w:autoSpaceDE/>
        <w:autoSpaceDN/>
        <w:bidi w:val="0"/>
        <w:adjustRightInd/>
        <w:snapToGrid/>
        <w:ind w:firstLine="420"/>
        <w:textAlignment w:val="auto"/>
        <w:rPr>
          <w:rFonts w:hint="default"/>
          <w:lang w:val="en-US" w:eastAsia="zh-CN"/>
        </w:rPr>
      </w:pPr>
      <w:r>
        <w:rPr>
          <w:rFonts w:hint="eastAsia"/>
          <w:b/>
          <w:bCs/>
          <w:color w:val="auto"/>
          <w:lang w:val="en-US" w:eastAsia="zh-CN"/>
        </w:rPr>
        <w:t>农业农村改革有序推进。</w:t>
      </w:r>
      <w:r>
        <w:rPr>
          <w:rFonts w:hint="eastAsia"/>
          <w:color w:val="auto"/>
          <w:lang w:val="en-US" w:eastAsia="zh-CN"/>
        </w:rPr>
        <w:t>罡杨镇获批国家级整镇延包试点，土地制度改革持续深化。华港镇扎实开展“小田并大田”试点，新增有效耕地240.5亩，有力促进了土地集中连片和规模经营。华港镇徐家垛村颁发首本农村土地经营权不动产权证书，标志着土地承包经营权正式纳入不动产统一登记体系，为有效防止耕地“非粮化”、盘活土地资源、保障农民权益提供了制度支撑。在全面完成清产核资的基础上，依托省农村产权交易信息服务平台、省农村集体财产智慧监管平台，持续巩固集体“三资”“操作规范化、管理信息化、交易阳光化、监督立体化”管理机制。平台交易范围已覆盖农村集体经营性资产、涉农项目、农业知识产权等15类品种。同时，发</w:t>
      </w:r>
      <w:r>
        <w:rPr>
          <w:rFonts w:hint="eastAsia"/>
          <w:lang w:val="en-US" w:eastAsia="zh-CN"/>
        </w:rPr>
        <w:t>挥镇街统筹作用，建立联合发展平台，有效整合各村（社区）资产、资金与资源，提升集约发展水平。</w:t>
      </w:r>
    </w:p>
    <w:p w14:paraId="7226CD95">
      <w:pPr>
        <w:pStyle w:val="4"/>
        <w:bidi w:val="0"/>
        <w:rPr>
          <w:rFonts w:hint="eastAsia"/>
          <w:lang w:val="en-US" w:eastAsia="zh-CN"/>
        </w:rPr>
      </w:pPr>
      <w:bookmarkStart w:id="10" w:name="_Toc9165"/>
      <w:bookmarkStart w:id="11" w:name="_Toc1515"/>
      <w:bookmarkStart w:id="12" w:name="_Toc251"/>
      <w:bookmarkStart w:id="13" w:name="_Toc19639"/>
      <w:r>
        <w:rPr>
          <w:rFonts w:hint="eastAsia"/>
          <w:lang w:val="en-US" w:eastAsia="zh-CN"/>
        </w:rPr>
        <w:t>第二节 发展阶段分析</w:t>
      </w:r>
      <w:bookmarkEnd w:id="10"/>
      <w:bookmarkEnd w:id="11"/>
      <w:bookmarkEnd w:id="12"/>
      <w:bookmarkEnd w:id="13"/>
    </w:p>
    <w:p w14:paraId="57E3E0E8">
      <w:pPr>
        <w:ind w:firstLine="420"/>
        <w:rPr>
          <w:rFonts w:hint="eastAsia"/>
          <w:color w:val="auto"/>
          <w:lang w:val="en-US" w:eastAsia="zh-CN"/>
        </w:rPr>
      </w:pPr>
      <w:r>
        <w:rPr>
          <w:rFonts w:hint="eastAsia"/>
          <w:lang w:eastAsia="zh-CN"/>
        </w:rPr>
        <w:t>“</w:t>
      </w:r>
      <w:r>
        <w:rPr>
          <w:rFonts w:hint="eastAsia"/>
          <w:color w:val="auto"/>
          <w:lang w:val="en-US" w:eastAsia="zh-CN"/>
        </w:rPr>
        <w:t>十五五”时期，海陵区农业农村发展面临新的历史机遇，应充分认识新阶段新特征，加快推进农业农村现代化建设。</w:t>
      </w:r>
    </w:p>
    <w:p w14:paraId="5E0166D6">
      <w:pPr>
        <w:ind w:firstLine="420"/>
        <w:rPr>
          <w:rFonts w:hint="eastAsia"/>
          <w:lang w:val="en-US" w:eastAsia="zh-CN"/>
        </w:rPr>
      </w:pPr>
      <w:r>
        <w:rPr>
          <w:rFonts w:hint="eastAsia"/>
          <w:b/>
          <w:bCs/>
          <w:lang w:val="en-US" w:eastAsia="zh-CN"/>
        </w:rPr>
        <w:t>都市城郊型农业进入高质量发展的新阶段。</w:t>
      </w:r>
      <w:r>
        <w:rPr>
          <w:rFonts w:hint="eastAsia"/>
          <w:lang w:val="en-US" w:eastAsia="zh-CN"/>
        </w:rPr>
        <w:t>随着人民生活水平持续提高，城市居民需求正从“吃饱穿暖”向“吃得健康、玩得多样、住得宜居”升级。紧邻城市的乡村空间，已成为满足上述需求的重要载体。其首要特征体现为功能定位从“生产导向”转向“需求导向”，不再局限于“菜篮子”“米袋子”等基础供给，而是与城市规划、基础设施、公共服务深度融合，逐步形成“城乡一盘棋”的发展格局。该阶段的本质，是依托城市的“需求拉力”与“要素推力”，推动农业由传统生产向现代产业转型，使其成为城市高品质生活的“供给侧”，乡村振兴的“先行区”，助力实现“城市让生活更美好，乡村让城市更向往”的发展愿景。</w:t>
      </w:r>
    </w:p>
    <w:p w14:paraId="102661DF">
      <w:pPr>
        <w:ind w:firstLine="420"/>
        <w:rPr>
          <w:rFonts w:hint="eastAsia" w:ascii="仿宋_GB2312" w:hAnsi="仿宋_GB2312" w:eastAsia="仿宋_GB2312" w:cs="仿宋_GB2312"/>
          <w:b/>
          <w:bCs/>
          <w:color w:val="FF0000"/>
          <w:sz w:val="32"/>
          <w:szCs w:val="32"/>
          <w:lang w:val="en-US" w:eastAsia="zh-CN"/>
        </w:rPr>
      </w:pPr>
      <w:r>
        <w:rPr>
          <w:rFonts w:hint="eastAsia"/>
          <w:b/>
          <w:bCs/>
          <w:lang w:val="en-US" w:eastAsia="zh-CN"/>
        </w:rPr>
        <w:t>和美乡村建设进入片区统筹提升的新阶段。</w:t>
      </w:r>
      <w:r>
        <w:rPr>
          <w:rFonts w:hint="eastAsia"/>
          <w:lang w:val="en-US" w:eastAsia="zh-CN"/>
        </w:rPr>
        <w:t>建设宜居宜业和美乡村，是党中央作出的重大决策部署，也是全面推进乡村振兴的重要任务。片区化建设作为其深化路径，是破解城乡发展不平衡、不充分问题的有效抓手，更是推动乡村全面振兴的创新实践。2024年，江苏省出台《宜居宜业和美乡村片区建设指导意见》，明确统筹推进39个示范片区，培育3000个宜居宜业和美乡村建设，并由省级财政安排三年共89亿元专项资金予以支持。通过片区化推进，有利于打破行政壁垒、优化要素配置、激发内生动力，推动乡村发展从“局部美”向“全域美”“一时美”向“持久美”跃升，努力绘就“望得见山、看得见水、记得住乡愁”的现代版“富春山居图”。</w:t>
      </w:r>
    </w:p>
    <w:p w14:paraId="1FFB9BEF">
      <w:pPr>
        <w:ind w:firstLine="420"/>
        <w:rPr>
          <w:rFonts w:hint="eastAsia" w:ascii="Times New Roman" w:hAnsi="Times New Roman" w:eastAsia="仿宋" w:cs="Times New Roman"/>
          <w:b w:val="0"/>
          <w:bCs w:val="0"/>
          <w:color w:val="auto"/>
          <w:sz w:val="32"/>
          <w:szCs w:val="22"/>
          <w:lang w:val="en-US" w:eastAsia="zh-CN"/>
        </w:rPr>
      </w:pPr>
      <w:r>
        <w:rPr>
          <w:rFonts w:hint="eastAsia" w:ascii="仿宋" w:hAnsi="仿宋" w:eastAsia="仿宋" w:cs="仿宋"/>
          <w:b/>
          <w:bCs/>
          <w:color w:val="auto"/>
          <w:sz w:val="32"/>
          <w:szCs w:val="32"/>
          <w:lang w:val="en-US" w:eastAsia="zh-CN"/>
        </w:rPr>
        <w:t>农民群众生活福祉进入持续增进的新阶段。</w:t>
      </w:r>
      <w:r>
        <w:rPr>
          <w:rFonts w:hint="eastAsia" w:ascii="Times New Roman" w:hAnsi="Times New Roman" w:eastAsia="仿宋" w:cs="Times New Roman"/>
          <w:i w:val="0"/>
          <w:iCs w:val="0"/>
          <w:caps w:val="0"/>
          <w:color w:val="auto"/>
          <w:spacing w:val="0"/>
          <w:sz w:val="32"/>
          <w:szCs w:val="22"/>
          <w:shd w:val="clear" w:fill="auto"/>
        </w:rPr>
        <w:t>党中央始终将人民对美好生活的向往作为奋斗目标，推动人口发展质量稳步提</w:t>
      </w:r>
      <w:r>
        <w:rPr>
          <w:rFonts w:hint="eastAsia" w:cs="Times New Roman"/>
          <w:i w:val="0"/>
          <w:iCs w:val="0"/>
          <w:caps w:val="0"/>
          <w:color w:val="auto"/>
          <w:spacing w:val="0"/>
          <w:sz w:val="32"/>
          <w:szCs w:val="22"/>
          <w:shd w:val="clear" w:fill="auto"/>
          <w:lang w:val="en-US" w:eastAsia="zh-CN"/>
        </w:rPr>
        <w:t>升</w:t>
      </w:r>
      <w:r>
        <w:rPr>
          <w:rFonts w:hint="eastAsia" w:ascii="Times New Roman" w:hAnsi="Times New Roman" w:eastAsia="仿宋" w:cs="Times New Roman"/>
          <w:i w:val="0"/>
          <w:iCs w:val="0"/>
          <w:caps w:val="0"/>
          <w:color w:val="auto"/>
          <w:spacing w:val="0"/>
          <w:sz w:val="32"/>
          <w:szCs w:val="22"/>
          <w:shd w:val="clear" w:fill="auto"/>
        </w:rPr>
        <w:t>，就业形势总体稳定，居民收</w:t>
      </w:r>
      <w:r>
        <w:rPr>
          <w:rFonts w:hint="eastAsia" w:cs="Times New Roman"/>
          <w:i w:val="0"/>
          <w:iCs w:val="0"/>
          <w:caps w:val="0"/>
          <w:color w:val="auto"/>
          <w:spacing w:val="0"/>
          <w:sz w:val="32"/>
          <w:szCs w:val="22"/>
          <w:shd w:val="clear" w:fill="auto"/>
          <w:lang w:val="en-US" w:eastAsia="zh-CN"/>
        </w:rPr>
        <w:t>入</w:t>
      </w:r>
      <w:r>
        <w:rPr>
          <w:rFonts w:hint="eastAsia" w:ascii="Times New Roman" w:hAnsi="Times New Roman" w:eastAsia="仿宋" w:cs="Times New Roman"/>
          <w:i w:val="0"/>
          <w:iCs w:val="0"/>
          <w:caps w:val="0"/>
          <w:color w:val="auto"/>
          <w:spacing w:val="0"/>
          <w:sz w:val="32"/>
          <w:szCs w:val="22"/>
          <w:shd w:val="clear" w:fill="auto"/>
        </w:rPr>
        <w:t>稳步增长，教育、医疗、社保等公共服务体系</w:t>
      </w:r>
      <w:r>
        <w:rPr>
          <w:rFonts w:hint="eastAsia" w:cs="Times New Roman"/>
          <w:i w:val="0"/>
          <w:iCs w:val="0"/>
          <w:caps w:val="0"/>
          <w:color w:val="auto"/>
          <w:spacing w:val="0"/>
          <w:sz w:val="32"/>
          <w:szCs w:val="22"/>
          <w:shd w:val="clear" w:fill="auto"/>
          <w:lang w:val="en-US" w:eastAsia="zh-CN"/>
        </w:rPr>
        <w:t>日益健全</w:t>
      </w:r>
      <w:r>
        <w:rPr>
          <w:rFonts w:hint="eastAsia" w:ascii="Times New Roman" w:hAnsi="Times New Roman" w:eastAsia="仿宋" w:cs="Times New Roman"/>
          <w:i w:val="0"/>
          <w:iCs w:val="0"/>
          <w:caps w:val="0"/>
          <w:color w:val="auto"/>
          <w:spacing w:val="0"/>
          <w:sz w:val="32"/>
          <w:szCs w:val="22"/>
          <w:shd w:val="clear" w:fill="auto"/>
        </w:rPr>
        <w:t>。“十五五”时期，将通过制度创新、产业升级、服务下沉、文化赋能等关键举措，着力促进农民收入增长、健全社会保障、提升生活品质、丰富精神文化生活，让广大农民在</w:t>
      </w:r>
      <w:r>
        <w:rPr>
          <w:rFonts w:hint="eastAsia" w:cs="Times New Roman"/>
          <w:i w:val="0"/>
          <w:iCs w:val="0"/>
          <w:caps w:val="0"/>
          <w:color w:val="auto"/>
          <w:spacing w:val="0"/>
          <w:sz w:val="32"/>
          <w:szCs w:val="22"/>
          <w:shd w:val="clear" w:fill="auto"/>
          <w:lang w:val="en-US" w:eastAsia="zh-CN"/>
        </w:rPr>
        <w:t>共建共享</w:t>
      </w:r>
      <w:r>
        <w:rPr>
          <w:rFonts w:hint="eastAsia" w:ascii="Times New Roman" w:hAnsi="Times New Roman" w:eastAsia="仿宋" w:cs="Times New Roman"/>
          <w:i w:val="0"/>
          <w:iCs w:val="0"/>
          <w:caps w:val="0"/>
          <w:color w:val="auto"/>
          <w:spacing w:val="0"/>
          <w:sz w:val="32"/>
          <w:szCs w:val="22"/>
          <w:shd w:val="clear" w:fill="auto"/>
        </w:rPr>
        <w:t>中不断提升获得感、幸福感、安全感。展望未来，随着乡村振兴战略深入实施，一幅“农业强、农村美、农民富”的壮美画卷正徐徐展开，亿万农民将在共同富裕道路上阔步前行。</w:t>
      </w:r>
    </w:p>
    <w:p w14:paraId="735AB333">
      <w:pPr>
        <w:ind w:firstLine="420"/>
        <w:rPr>
          <w:rFonts w:hint="eastAsia" w:ascii="仿宋" w:hAnsi="仿宋" w:eastAsia="仿宋" w:cs="仿宋"/>
          <w:b/>
          <w:bCs/>
          <w:color w:val="auto"/>
          <w:sz w:val="32"/>
          <w:szCs w:val="32"/>
        </w:rPr>
      </w:pPr>
      <w:r>
        <w:rPr>
          <w:rFonts w:hint="eastAsia" w:ascii="仿宋" w:hAnsi="仿宋" w:eastAsia="仿宋" w:cs="仿宋"/>
          <w:b/>
          <w:bCs/>
          <w:color w:val="auto"/>
          <w:sz w:val="32"/>
          <w:szCs w:val="32"/>
        </w:rPr>
        <w:t>工农城乡关系迈入深度融合</w:t>
      </w:r>
      <w:r>
        <w:rPr>
          <w:rFonts w:hint="eastAsia" w:ascii="仿宋" w:hAnsi="仿宋" w:eastAsia="仿宋" w:cs="仿宋"/>
          <w:b/>
          <w:bCs/>
          <w:color w:val="auto"/>
          <w:sz w:val="32"/>
          <w:szCs w:val="32"/>
          <w:lang w:val="en-US" w:eastAsia="zh-CN"/>
        </w:rPr>
        <w:t>发展</w:t>
      </w:r>
      <w:r>
        <w:rPr>
          <w:rFonts w:hint="eastAsia" w:ascii="仿宋" w:hAnsi="仿宋" w:eastAsia="仿宋" w:cs="仿宋"/>
          <w:b/>
          <w:bCs/>
          <w:color w:val="auto"/>
          <w:sz w:val="32"/>
          <w:szCs w:val="32"/>
        </w:rPr>
        <w:t>的新阶段。</w:t>
      </w:r>
      <w:r>
        <w:rPr>
          <w:rFonts w:hint="eastAsia" w:ascii="仿宋" w:hAnsi="仿宋" w:eastAsia="仿宋" w:cs="仿宋"/>
          <w:b w:val="0"/>
          <w:bCs w:val="0"/>
          <w:color w:val="auto"/>
          <w:sz w:val="32"/>
          <w:szCs w:val="32"/>
        </w:rPr>
        <w:t>习近平总书记指出：</w:t>
      </w:r>
      <w:r>
        <w:rPr>
          <w:rFonts w:hint="eastAsia" w:ascii="仿宋" w:hAnsi="仿宋" w:cs="仿宋"/>
          <w:b w:val="0"/>
          <w:bCs w:val="0"/>
          <w:color w:val="auto"/>
          <w:sz w:val="32"/>
          <w:szCs w:val="32"/>
          <w:lang w:eastAsia="zh-CN"/>
        </w:rPr>
        <w:t>“</w:t>
      </w:r>
      <w:r>
        <w:rPr>
          <w:rFonts w:hint="eastAsia" w:ascii="仿宋" w:hAnsi="仿宋" w:eastAsia="仿宋" w:cs="仿宋"/>
          <w:b w:val="0"/>
          <w:bCs w:val="0"/>
          <w:color w:val="auto"/>
          <w:sz w:val="32"/>
          <w:szCs w:val="32"/>
        </w:rPr>
        <w:t>在现代化进程中，如何处理好工农关系、城乡关系，在一定程度上决定着现代化的成败。</w:t>
      </w:r>
      <w:r>
        <w:rPr>
          <w:rFonts w:hint="eastAsia" w:ascii="仿宋" w:hAnsi="仿宋" w:cs="仿宋"/>
          <w:b w:val="0"/>
          <w:bCs w:val="0"/>
          <w:color w:val="auto"/>
          <w:sz w:val="32"/>
          <w:szCs w:val="32"/>
          <w:lang w:eastAsia="zh-CN"/>
        </w:rPr>
        <w:t>”</w:t>
      </w:r>
      <w:r>
        <w:rPr>
          <w:rFonts w:hint="eastAsia" w:ascii="仿宋" w:hAnsi="仿宋" w:eastAsia="仿宋" w:cs="仿宋"/>
          <w:i w:val="0"/>
          <w:iCs w:val="0"/>
          <w:caps w:val="0"/>
          <w:color w:val="auto"/>
          <w:spacing w:val="0"/>
          <w:sz w:val="32"/>
          <w:szCs w:val="32"/>
          <w:shd w:val="clear" w:fill="auto"/>
        </w:rPr>
        <w:t>当前，乡村发展的动力机制已由传统的“以城带乡”，拓展为更具系统性、互动性的“城乡融合带乡”，并深化为引领乡村全面振兴的实践路径。这一转变标志着工作着力点从</w:t>
      </w:r>
      <w:r>
        <w:rPr>
          <w:rFonts w:hint="eastAsia" w:ascii="仿宋" w:hAnsi="仿宋" w:cs="仿宋"/>
          <w:i w:val="0"/>
          <w:iCs w:val="0"/>
          <w:caps w:val="0"/>
          <w:color w:val="auto"/>
          <w:spacing w:val="0"/>
          <w:sz w:val="32"/>
          <w:szCs w:val="32"/>
          <w:shd w:val="clear" w:fill="auto"/>
          <w:lang w:val="en-US" w:eastAsia="zh-CN"/>
        </w:rPr>
        <w:t>聚焦</w:t>
      </w:r>
      <w:r>
        <w:rPr>
          <w:rFonts w:hint="eastAsia" w:ascii="仿宋" w:hAnsi="仿宋" w:eastAsia="仿宋" w:cs="仿宋"/>
          <w:i w:val="0"/>
          <w:iCs w:val="0"/>
          <w:caps w:val="0"/>
          <w:color w:val="auto"/>
          <w:spacing w:val="0"/>
          <w:sz w:val="32"/>
          <w:szCs w:val="32"/>
          <w:shd w:val="clear" w:fill="auto"/>
        </w:rPr>
        <w:t>乡村内部提升，扩展到</w:t>
      </w:r>
      <w:r>
        <w:rPr>
          <w:rFonts w:hint="eastAsia" w:ascii="仿宋" w:hAnsi="仿宋" w:cs="仿宋"/>
          <w:i w:val="0"/>
          <w:iCs w:val="0"/>
          <w:caps w:val="0"/>
          <w:color w:val="auto"/>
          <w:spacing w:val="0"/>
          <w:sz w:val="32"/>
          <w:szCs w:val="32"/>
          <w:shd w:val="clear" w:fill="auto"/>
          <w:lang w:val="en-US" w:eastAsia="zh-CN"/>
        </w:rPr>
        <w:t>推动</w:t>
      </w:r>
      <w:r>
        <w:rPr>
          <w:rFonts w:hint="eastAsia" w:ascii="仿宋" w:hAnsi="仿宋" w:eastAsia="仿宋" w:cs="仿宋"/>
          <w:i w:val="0"/>
          <w:iCs w:val="0"/>
          <w:caps w:val="0"/>
          <w:color w:val="auto"/>
          <w:spacing w:val="0"/>
          <w:sz w:val="32"/>
          <w:szCs w:val="32"/>
          <w:shd w:val="clear" w:fill="auto"/>
        </w:rPr>
        <w:t>城乡全域融合、多领域协同</w:t>
      </w:r>
      <w:r>
        <w:rPr>
          <w:rFonts w:hint="eastAsia" w:ascii="仿宋" w:hAnsi="仿宋" w:cs="仿宋"/>
          <w:i w:val="0"/>
          <w:iCs w:val="0"/>
          <w:caps w:val="0"/>
          <w:color w:val="auto"/>
          <w:spacing w:val="0"/>
          <w:sz w:val="32"/>
          <w:szCs w:val="32"/>
          <w:shd w:val="clear" w:fill="auto"/>
          <w:lang w:val="en-US" w:eastAsia="zh-CN"/>
        </w:rPr>
        <w:t>发展</w:t>
      </w:r>
      <w:r>
        <w:rPr>
          <w:rFonts w:hint="eastAsia" w:ascii="仿宋" w:hAnsi="仿宋" w:eastAsia="仿宋" w:cs="仿宋"/>
          <w:i w:val="0"/>
          <w:iCs w:val="0"/>
          <w:caps w:val="0"/>
          <w:color w:val="auto"/>
          <w:spacing w:val="0"/>
          <w:sz w:val="32"/>
          <w:szCs w:val="32"/>
          <w:shd w:val="clear" w:fill="auto"/>
        </w:rPr>
        <w:t>。以城乡融合发展带动乡村全面振兴，是新时代我们党对城乡关系规律</w:t>
      </w:r>
      <w:r>
        <w:rPr>
          <w:rFonts w:hint="eastAsia" w:ascii="仿宋" w:hAnsi="仿宋" w:cs="仿宋"/>
          <w:i w:val="0"/>
          <w:iCs w:val="0"/>
          <w:caps w:val="0"/>
          <w:color w:val="auto"/>
          <w:spacing w:val="0"/>
          <w:sz w:val="32"/>
          <w:szCs w:val="32"/>
          <w:shd w:val="clear" w:fill="auto"/>
          <w:lang w:val="en-US" w:eastAsia="zh-CN"/>
        </w:rPr>
        <w:t>的深刻把握</w:t>
      </w:r>
      <w:r>
        <w:rPr>
          <w:rFonts w:hint="eastAsia" w:ascii="仿宋" w:hAnsi="仿宋" w:eastAsia="仿宋" w:cs="仿宋"/>
          <w:i w:val="0"/>
          <w:iCs w:val="0"/>
          <w:caps w:val="0"/>
          <w:color w:val="auto"/>
          <w:spacing w:val="0"/>
          <w:sz w:val="32"/>
          <w:szCs w:val="32"/>
          <w:shd w:val="clear" w:fill="auto"/>
        </w:rPr>
        <w:t>，标志着我国城乡关系</w:t>
      </w:r>
      <w:r>
        <w:rPr>
          <w:rFonts w:hint="eastAsia" w:ascii="仿宋" w:hAnsi="仿宋" w:cs="仿宋"/>
          <w:i w:val="0"/>
          <w:iCs w:val="0"/>
          <w:caps w:val="0"/>
          <w:color w:val="auto"/>
          <w:spacing w:val="0"/>
          <w:sz w:val="32"/>
          <w:szCs w:val="32"/>
          <w:shd w:val="clear" w:fill="auto"/>
          <w:lang w:val="en-US" w:eastAsia="zh-CN"/>
        </w:rPr>
        <w:t>正迈向</w:t>
      </w:r>
      <w:r>
        <w:rPr>
          <w:rFonts w:hint="eastAsia" w:ascii="仿宋" w:hAnsi="仿宋" w:eastAsia="仿宋" w:cs="仿宋"/>
          <w:i w:val="0"/>
          <w:iCs w:val="0"/>
          <w:caps w:val="0"/>
          <w:color w:val="auto"/>
          <w:spacing w:val="0"/>
          <w:sz w:val="32"/>
          <w:szCs w:val="32"/>
          <w:shd w:val="clear" w:fill="auto"/>
        </w:rPr>
        <w:t>全面融合</w:t>
      </w:r>
      <w:r>
        <w:rPr>
          <w:rFonts w:hint="eastAsia" w:ascii="仿宋" w:hAnsi="仿宋" w:cs="仿宋"/>
          <w:i w:val="0"/>
          <w:iCs w:val="0"/>
          <w:caps w:val="0"/>
          <w:color w:val="auto"/>
          <w:spacing w:val="0"/>
          <w:sz w:val="32"/>
          <w:szCs w:val="32"/>
          <w:shd w:val="clear" w:fill="auto"/>
          <w:lang w:eastAsia="zh-CN"/>
        </w:rPr>
        <w:t>、</w:t>
      </w:r>
      <w:r>
        <w:rPr>
          <w:rFonts w:hint="eastAsia" w:ascii="仿宋" w:hAnsi="仿宋" w:cs="仿宋"/>
          <w:i w:val="0"/>
          <w:iCs w:val="0"/>
          <w:caps w:val="0"/>
          <w:color w:val="auto"/>
          <w:spacing w:val="0"/>
          <w:sz w:val="32"/>
          <w:szCs w:val="32"/>
          <w:shd w:val="clear" w:fill="auto"/>
          <w:lang w:val="en-US" w:eastAsia="zh-CN"/>
        </w:rPr>
        <w:t>共同繁荣</w:t>
      </w:r>
      <w:r>
        <w:rPr>
          <w:rFonts w:hint="eastAsia" w:ascii="仿宋" w:hAnsi="仿宋" w:eastAsia="仿宋" w:cs="仿宋"/>
          <w:i w:val="0"/>
          <w:iCs w:val="0"/>
          <w:caps w:val="0"/>
          <w:color w:val="auto"/>
          <w:spacing w:val="0"/>
          <w:sz w:val="32"/>
          <w:szCs w:val="32"/>
          <w:shd w:val="clear" w:fill="auto"/>
        </w:rPr>
        <w:t>的新阶段。</w:t>
      </w:r>
    </w:p>
    <w:p w14:paraId="18E8AD27">
      <w:pPr>
        <w:pStyle w:val="4"/>
        <w:rPr>
          <w:rFonts w:hint="eastAsia" w:ascii="Times New Roman" w:hAnsi="Times New Roman" w:eastAsia="仿宋" w:cs="Times New Roman"/>
          <w:i w:val="0"/>
          <w:iCs w:val="0"/>
          <w:caps w:val="0"/>
          <w:color w:val="auto"/>
          <w:spacing w:val="0"/>
          <w:sz w:val="32"/>
          <w:szCs w:val="22"/>
          <w:shd w:val="clear" w:fill="auto"/>
        </w:rPr>
      </w:pPr>
      <w:bookmarkStart w:id="14" w:name="_Toc6304"/>
      <w:bookmarkStart w:id="15" w:name="_Toc29753"/>
      <w:bookmarkStart w:id="16" w:name="_Toc20085"/>
      <w:bookmarkStart w:id="17" w:name="_Toc2215"/>
      <w:r>
        <w:rPr>
          <w:rFonts w:hint="eastAsia"/>
          <w:lang w:val="en-US" w:eastAsia="zh-CN"/>
        </w:rPr>
        <w:t>第三节 发展形势分析</w:t>
      </w:r>
      <w:bookmarkEnd w:id="14"/>
      <w:bookmarkEnd w:id="15"/>
      <w:bookmarkEnd w:id="16"/>
      <w:bookmarkEnd w:id="17"/>
    </w:p>
    <w:p w14:paraId="62AD39BA">
      <w:pPr>
        <w:pStyle w:val="19"/>
        <w:spacing w:line="360" w:lineRule="auto"/>
        <w:ind w:firstLine="0" w:firstLineChars="0"/>
        <w:jc w:val="center"/>
        <w:rPr>
          <w:rFonts w:hint="eastAsia" w:ascii="Times New Roman" w:hAnsi="Times New Roman" w:cs="Times New Roman"/>
          <w:b/>
          <w:bCs/>
          <w:i w:val="0"/>
          <w:iCs w:val="0"/>
          <w:caps w:val="0"/>
          <w:color w:val="auto"/>
          <w:spacing w:val="0"/>
          <w:sz w:val="32"/>
          <w:szCs w:val="22"/>
          <w:shd w:val="clear" w:fill="auto"/>
          <w:lang w:val="en-US" w:eastAsia="zh-CN"/>
        </w:rPr>
      </w:pPr>
      <w:r>
        <w:rPr>
          <w:rFonts w:hint="eastAsia" w:ascii="Times New Roman" w:hAnsi="Times New Roman" w:cs="Times New Roman"/>
          <w:b/>
          <w:bCs/>
          <w:i w:val="0"/>
          <w:iCs w:val="0"/>
          <w:caps w:val="0"/>
          <w:color w:val="auto"/>
          <w:spacing w:val="0"/>
          <w:sz w:val="32"/>
          <w:szCs w:val="22"/>
          <w:shd w:val="clear" w:fill="auto"/>
          <w:lang w:eastAsia="zh-CN"/>
        </w:rPr>
        <w:t>（</w:t>
      </w:r>
      <w:r>
        <w:rPr>
          <w:rFonts w:hint="eastAsia" w:ascii="Times New Roman" w:hAnsi="Times New Roman" w:cs="Times New Roman"/>
          <w:b/>
          <w:bCs/>
          <w:i w:val="0"/>
          <w:iCs w:val="0"/>
          <w:caps w:val="0"/>
          <w:color w:val="auto"/>
          <w:spacing w:val="0"/>
          <w:sz w:val="32"/>
          <w:szCs w:val="22"/>
          <w:shd w:val="clear" w:fill="auto"/>
          <w:lang w:val="en-US" w:eastAsia="zh-CN"/>
        </w:rPr>
        <w:t>一</w:t>
      </w:r>
      <w:r>
        <w:rPr>
          <w:rFonts w:hint="eastAsia" w:ascii="Times New Roman" w:hAnsi="Times New Roman" w:cs="Times New Roman"/>
          <w:b/>
          <w:bCs/>
          <w:i w:val="0"/>
          <w:iCs w:val="0"/>
          <w:caps w:val="0"/>
          <w:color w:val="auto"/>
          <w:spacing w:val="0"/>
          <w:sz w:val="32"/>
          <w:szCs w:val="22"/>
          <w:shd w:val="clear" w:fill="auto"/>
          <w:lang w:eastAsia="zh-CN"/>
        </w:rPr>
        <w:t>）“</w:t>
      </w:r>
      <w:r>
        <w:rPr>
          <w:rFonts w:hint="eastAsia" w:ascii="Times New Roman" w:hAnsi="Times New Roman" w:cs="Times New Roman"/>
          <w:b/>
          <w:bCs/>
          <w:i w:val="0"/>
          <w:iCs w:val="0"/>
          <w:caps w:val="0"/>
          <w:color w:val="auto"/>
          <w:spacing w:val="0"/>
          <w:sz w:val="32"/>
          <w:szCs w:val="22"/>
          <w:shd w:val="clear" w:fill="auto"/>
          <w:lang w:val="en-US" w:eastAsia="zh-CN"/>
        </w:rPr>
        <w:t>十五五”发展战略机遇</w:t>
      </w:r>
    </w:p>
    <w:p w14:paraId="588E3AD0">
      <w:pPr>
        <w:spacing w:line="240" w:lineRule="auto"/>
        <w:ind w:firstLine="643" w:firstLineChars="200"/>
        <w:rPr>
          <w:rStyle w:val="16"/>
          <w:rFonts w:hint="eastAsia" w:ascii="仿宋" w:hAnsi="仿宋" w:eastAsia="仿宋" w:cs="Times New Roman"/>
          <w:b w:val="0"/>
          <w:bCs w:val="0"/>
          <w:i w:val="0"/>
          <w:iCs w:val="0"/>
          <w:caps w:val="0"/>
          <w:color w:val="auto"/>
          <w:spacing w:val="0"/>
          <w:sz w:val="32"/>
          <w:szCs w:val="32"/>
          <w:highlight w:val="none"/>
          <w:shd w:val="clear" w:color="auto" w:fill="auto"/>
          <w:lang w:eastAsia="zh-CN"/>
        </w:rPr>
      </w:pPr>
      <w:r>
        <w:rPr>
          <w:rStyle w:val="16"/>
          <w:rFonts w:hint="eastAsia" w:ascii="仿宋" w:hAnsi="仿宋" w:eastAsia="仿宋" w:cs="Times New Roman"/>
          <w:b/>
          <w:bCs/>
          <w:i w:val="0"/>
          <w:iCs w:val="0"/>
          <w:caps w:val="0"/>
          <w:color w:val="auto"/>
          <w:spacing w:val="0"/>
          <w:sz w:val="32"/>
          <w:szCs w:val="32"/>
          <w:highlight w:val="none"/>
          <w:shd w:val="clear" w:color="auto" w:fill="auto"/>
        </w:rPr>
        <w:t>政策</w:t>
      </w:r>
      <w:r>
        <w:rPr>
          <w:rStyle w:val="16"/>
          <w:rFonts w:hint="eastAsia" w:ascii="仿宋" w:hAnsi="仿宋" w:cs="Times New Roman"/>
          <w:b/>
          <w:bCs/>
          <w:i w:val="0"/>
          <w:iCs w:val="0"/>
          <w:caps w:val="0"/>
          <w:color w:val="auto"/>
          <w:spacing w:val="0"/>
          <w:sz w:val="32"/>
          <w:szCs w:val="32"/>
          <w:highlight w:val="none"/>
          <w:shd w:val="clear" w:color="auto" w:fill="auto"/>
          <w:lang w:val="en-US" w:eastAsia="zh-CN"/>
        </w:rPr>
        <w:t>支持力度持续加大</w:t>
      </w:r>
      <w:r>
        <w:rPr>
          <w:rStyle w:val="16"/>
          <w:rFonts w:hint="eastAsia" w:ascii="仿宋" w:hAnsi="仿宋" w:eastAsia="仿宋" w:cs="Times New Roman"/>
          <w:b/>
          <w:bCs/>
          <w:i w:val="0"/>
          <w:iCs w:val="0"/>
          <w:caps w:val="0"/>
          <w:color w:val="auto"/>
          <w:spacing w:val="0"/>
          <w:sz w:val="32"/>
          <w:szCs w:val="32"/>
          <w:highlight w:val="none"/>
          <w:shd w:val="clear" w:color="auto" w:fill="auto"/>
        </w:rPr>
        <w:t>。</w:t>
      </w:r>
      <w:r>
        <w:rPr>
          <w:rStyle w:val="16"/>
          <w:rFonts w:hint="eastAsia" w:ascii="仿宋" w:hAnsi="仿宋" w:eastAsia="仿宋" w:cs="Times New Roman"/>
          <w:b w:val="0"/>
          <w:bCs w:val="0"/>
          <w:i w:val="0"/>
          <w:iCs w:val="0"/>
          <w:caps w:val="0"/>
          <w:color w:val="auto"/>
          <w:spacing w:val="0"/>
          <w:sz w:val="32"/>
          <w:szCs w:val="32"/>
          <w:highlight w:val="none"/>
          <w:shd w:val="clear" w:color="auto" w:fill="auto"/>
        </w:rPr>
        <w:t>党中央始终坚持把解决好“三农”问题作为全党工作的重中之重</w:t>
      </w:r>
      <w:r>
        <w:rPr>
          <w:rStyle w:val="16"/>
          <w:rFonts w:hint="eastAsia" w:ascii="仿宋" w:hAnsi="仿宋" w:cs="Times New Roman"/>
          <w:b w:val="0"/>
          <w:bCs w:val="0"/>
          <w:i w:val="0"/>
          <w:iCs w:val="0"/>
          <w:caps w:val="0"/>
          <w:color w:val="auto"/>
          <w:spacing w:val="0"/>
          <w:sz w:val="32"/>
          <w:szCs w:val="32"/>
          <w:highlight w:val="none"/>
          <w:shd w:val="clear" w:color="auto" w:fill="auto"/>
          <w:lang w:eastAsia="zh-CN"/>
        </w:rPr>
        <w:t>，</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《乡村全面振兴规划（2024－2027年）》《加快建设农业强国规划（2024－2035年）》</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lang w:val="en-US" w:eastAsia="zh-CN"/>
        </w:rPr>
        <w:t>相继</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颁布，</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强农惠农富农政策清单出台，</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进一步明确了乡村振兴作为新时代“三农”工作总抓手、农业强国建设作为实现民族复兴关键支撑的战略定位</w:t>
      </w:r>
      <w:r>
        <w:rPr>
          <w:rStyle w:val="16"/>
          <w:rFonts w:hint="eastAsia" w:cs="Times New Roman"/>
          <w:b w:val="0"/>
          <w:bCs w:val="0"/>
          <w:i w:val="0"/>
          <w:iCs w:val="0"/>
          <w:caps w:val="0"/>
          <w:color w:val="auto"/>
          <w:spacing w:val="0"/>
          <w:sz w:val="32"/>
          <w:szCs w:val="32"/>
          <w:highlight w:val="none"/>
          <w:shd w:val="clear" w:color="auto" w:fill="auto"/>
          <w:lang w:eastAsia="zh-CN"/>
        </w:rPr>
        <w:t>。《中共中央关于制定国民经济和社会发展第十五个五年规划的建议》</w:t>
      </w:r>
      <w:r>
        <w:rPr>
          <w:rStyle w:val="16"/>
          <w:rFonts w:hint="eastAsia" w:cs="Times New Roman"/>
          <w:b w:val="0"/>
          <w:bCs w:val="0"/>
          <w:i w:val="0"/>
          <w:iCs w:val="0"/>
          <w:caps w:val="0"/>
          <w:color w:val="auto"/>
          <w:spacing w:val="0"/>
          <w:sz w:val="32"/>
          <w:szCs w:val="32"/>
          <w:highlight w:val="none"/>
          <w:shd w:val="clear" w:color="auto" w:fill="auto"/>
          <w:lang w:val="en-US" w:eastAsia="zh-CN"/>
        </w:rPr>
        <w:t>中强调，农业农村现代化关系着中国式现代化全局和成色，进一步明确“十五五”时期农业农村发展重点思路。</w:t>
      </w:r>
    </w:p>
    <w:p w14:paraId="2C01A597">
      <w:pPr>
        <w:pStyle w:val="19"/>
        <w:spacing w:line="360" w:lineRule="auto"/>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pPr>
      <w:r>
        <w:rPr>
          <w:rStyle w:val="16"/>
          <w:rFonts w:hint="eastAsia" w:ascii="仿宋" w:hAnsi="仿宋" w:eastAsia="仿宋" w:cs="Times New Roman"/>
          <w:b/>
          <w:bCs/>
          <w:i w:val="0"/>
          <w:iCs w:val="0"/>
          <w:caps w:val="0"/>
          <w:color w:val="auto"/>
          <w:spacing w:val="0"/>
          <w:sz w:val="32"/>
          <w:szCs w:val="32"/>
          <w:highlight w:val="none"/>
          <w:shd w:val="clear" w:color="auto" w:fill="auto"/>
        </w:rPr>
        <w:t>科技</w:t>
      </w:r>
      <w:r>
        <w:rPr>
          <w:rStyle w:val="16"/>
          <w:rFonts w:hint="eastAsia" w:ascii="仿宋" w:hAnsi="仿宋" w:cs="Times New Roman"/>
          <w:b/>
          <w:bCs/>
          <w:i w:val="0"/>
          <w:iCs w:val="0"/>
          <w:caps w:val="0"/>
          <w:color w:val="auto"/>
          <w:spacing w:val="0"/>
          <w:sz w:val="32"/>
          <w:szCs w:val="32"/>
          <w:highlight w:val="none"/>
          <w:shd w:val="clear" w:color="auto" w:fill="auto"/>
          <w:lang w:val="en-US" w:eastAsia="zh-CN"/>
        </w:rPr>
        <w:t>创新注入强劲动能</w:t>
      </w:r>
      <w:r>
        <w:rPr>
          <w:rStyle w:val="16"/>
          <w:rFonts w:hint="eastAsia" w:ascii="仿宋" w:hAnsi="仿宋" w:eastAsia="仿宋" w:cs="Times New Roman"/>
          <w:b/>
          <w:bCs/>
          <w:i w:val="0"/>
          <w:iCs w:val="0"/>
          <w:caps w:val="0"/>
          <w:color w:val="auto"/>
          <w:spacing w:val="0"/>
          <w:sz w:val="32"/>
          <w:szCs w:val="32"/>
          <w:highlight w:val="none"/>
          <w:shd w:val="clear" w:color="auto" w:fill="auto"/>
        </w:rPr>
        <w:t>。</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2025年，我国</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研发</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经费</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投入强度达2.</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8</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%，首次超过OECD国家平均水平</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eastAsia="zh-CN"/>
        </w:rPr>
        <w:t>，</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研发人员总量</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居</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世界第一</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eastAsia="zh-CN"/>
        </w:rPr>
        <w:t>，</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标志着我国正向科技强国的目标稳步迈进</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eastAsia="zh-CN"/>
        </w:rPr>
        <w:t>，</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农业科技</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lang w:val="en-US" w:eastAsia="zh-CN"/>
        </w:rPr>
        <w:t>也</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正迎来新一轮革命，技术创新与产业融合步伐</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不断</w:t>
      </w:r>
      <w:r>
        <w:rPr>
          <w:rStyle w:val="16"/>
          <w:rFonts w:hint="eastAsia" w:ascii="Times New Roman" w:hAnsi="Times New Roman" w:eastAsia="仿宋" w:cs="Times New Roman"/>
          <w:b w:val="0"/>
          <w:bCs w:val="0"/>
          <w:i w:val="0"/>
          <w:iCs w:val="0"/>
          <w:caps w:val="0"/>
          <w:color w:val="auto"/>
          <w:spacing w:val="0"/>
          <w:sz w:val="32"/>
          <w:szCs w:val="32"/>
          <w:highlight w:val="none"/>
          <w:shd w:val="clear" w:color="auto" w:fill="auto"/>
        </w:rPr>
        <w:t>加快。</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十五五”时期，海陵区将以科技创新为核心引擎，整合重大科技创新平台资源，发挥国家级农业科技园区优势，聚焦健康食品、农业智能装备、微生物科技等领域，探索现代种业前沿科技，全面推进科学技术在农业领域的深度运用。</w:t>
      </w:r>
    </w:p>
    <w:p w14:paraId="5C5E2034">
      <w:pPr>
        <w:pStyle w:val="19"/>
        <w:spacing w:line="360" w:lineRule="auto"/>
        <w:rPr>
          <w:rStyle w:val="16"/>
          <w:rFonts w:hint="default" w:ascii="Times New Roman" w:hAnsi="Times New Roman" w:cs="Times New Roman"/>
          <w:b w:val="0"/>
          <w:bCs w:val="0"/>
          <w:i w:val="0"/>
          <w:iCs w:val="0"/>
          <w:caps w:val="0"/>
          <w:color w:val="auto"/>
          <w:spacing w:val="0"/>
          <w:sz w:val="32"/>
          <w:szCs w:val="32"/>
          <w:highlight w:val="none"/>
          <w:shd w:val="clear" w:color="auto" w:fill="auto"/>
          <w:lang w:val="en-US" w:eastAsia="zh-CN"/>
        </w:rPr>
      </w:pPr>
      <w:r>
        <w:rPr>
          <w:rStyle w:val="16"/>
          <w:rFonts w:hint="default" w:ascii="Times New Roman" w:hAnsi="Times New Roman" w:cs="Times New Roman"/>
          <w:b/>
          <w:bCs/>
          <w:i w:val="0"/>
          <w:iCs w:val="0"/>
          <w:caps w:val="0"/>
          <w:color w:val="auto"/>
          <w:spacing w:val="0"/>
          <w:sz w:val="32"/>
          <w:szCs w:val="32"/>
          <w:highlight w:val="none"/>
          <w:shd w:val="clear" w:color="auto" w:fill="auto"/>
          <w:lang w:val="en-US" w:eastAsia="zh-CN"/>
        </w:rPr>
        <w:t>新业态新模式新场景涌现</w:t>
      </w:r>
      <w:r>
        <w:rPr>
          <w:rStyle w:val="16"/>
          <w:rFonts w:hint="eastAsia" w:ascii="Times New Roman" w:hAnsi="Times New Roman" w:cs="Times New Roman"/>
          <w:b/>
          <w:bCs/>
          <w:i w:val="0"/>
          <w:iCs w:val="0"/>
          <w:caps w:val="0"/>
          <w:color w:val="auto"/>
          <w:spacing w:val="0"/>
          <w:sz w:val="32"/>
          <w:szCs w:val="32"/>
          <w:highlight w:val="none"/>
          <w:shd w:val="clear" w:color="auto" w:fill="auto"/>
          <w:lang w:val="en-US" w:eastAsia="zh-CN"/>
        </w:rPr>
        <w:t>。</w:t>
      </w:r>
      <w:r>
        <w:rPr>
          <w:rStyle w:val="16"/>
          <w:rFonts w:hint="eastAsia" w:ascii="Times New Roman" w:hAnsi="Times New Roman" w:cs="Times New Roman"/>
          <w:b w:val="0"/>
          <w:bCs w:val="0"/>
          <w:i w:val="0"/>
          <w:iCs w:val="0"/>
          <w:caps w:val="0"/>
          <w:color w:val="auto"/>
          <w:spacing w:val="0"/>
          <w:sz w:val="32"/>
          <w:szCs w:val="32"/>
          <w:highlight w:val="none"/>
          <w:shd w:val="clear" w:color="auto" w:fill="auto"/>
          <w:lang w:val="en-US" w:eastAsia="zh-CN"/>
        </w:rPr>
        <w:t>提振消费是扩大内需、做大做强国内大循环的重中之重，党中央、国务院对大力提振消费作出战略部署，其中新业态新模式新场景成为重要着力点。海陵区作为主城区，将充分发挥都市近郊优势，大力发展休闲农业、宠物经济、周末经济、电商直播等新业态，立足“苏超”等重大赛事，创新节庆展会等消费平台，丰富农产品消费场景，持续激发乡村消费潜力。借势首届“苏超”冠军队流量，为农产品消费升级和休闲旅游提质增效注入新动力。</w:t>
      </w:r>
    </w:p>
    <w:p w14:paraId="38B20660">
      <w:pPr>
        <w:pStyle w:val="19"/>
        <w:spacing w:line="360" w:lineRule="auto"/>
        <w:ind w:firstLine="0" w:firstLineChars="0"/>
        <w:jc w:val="center"/>
        <w:rPr>
          <w:rFonts w:hint="eastAsia" w:ascii="Times New Roman" w:hAnsi="Times New Roman" w:cs="Times New Roman"/>
          <w:b/>
          <w:bCs/>
          <w:i w:val="0"/>
          <w:iCs w:val="0"/>
          <w:caps w:val="0"/>
          <w:color w:val="auto"/>
          <w:spacing w:val="0"/>
          <w:sz w:val="32"/>
          <w:szCs w:val="22"/>
          <w:shd w:val="clear" w:fill="auto"/>
          <w:lang w:val="en-US" w:eastAsia="zh-CN"/>
        </w:rPr>
      </w:pPr>
      <w:r>
        <w:rPr>
          <w:rFonts w:hint="eastAsia" w:ascii="Times New Roman" w:hAnsi="Times New Roman" w:cs="Times New Roman"/>
          <w:b/>
          <w:bCs/>
          <w:i w:val="0"/>
          <w:iCs w:val="0"/>
          <w:caps w:val="0"/>
          <w:color w:val="auto"/>
          <w:spacing w:val="0"/>
          <w:sz w:val="32"/>
          <w:szCs w:val="22"/>
          <w:shd w:val="clear" w:fill="auto"/>
          <w:lang w:val="en-US" w:eastAsia="zh-CN"/>
        </w:rPr>
        <w:t>（二）“十五五”发展风险挑战</w:t>
      </w:r>
    </w:p>
    <w:p w14:paraId="76F68087">
      <w:pPr>
        <w:spacing w:line="360" w:lineRule="auto"/>
        <w:ind w:firstLine="643" w:firstLineChars="200"/>
        <w:jc w:val="both"/>
        <w:rPr>
          <w:rFonts w:hint="eastAsia" w:ascii="Times New Roman" w:hAnsi="Times New Roman" w:eastAsia="仿宋" w:cs="仿宋"/>
          <w:bCs w:val="0"/>
          <w:color w:val="auto"/>
          <w:kern w:val="2"/>
          <w:sz w:val="32"/>
          <w:szCs w:val="32"/>
          <w:highlight w:val="none"/>
          <w:lang w:val="en-US" w:eastAsia="zh-CN" w:bidi="ar-SA"/>
        </w:rPr>
      </w:pPr>
      <w:r>
        <w:rPr>
          <w:rFonts w:hint="eastAsia" w:ascii="Times New Roman" w:hAnsi="Times New Roman" w:eastAsia="仿宋" w:cs="仿宋"/>
          <w:b/>
          <w:bCs/>
          <w:color w:val="auto"/>
          <w:kern w:val="2"/>
          <w:sz w:val="32"/>
          <w:szCs w:val="32"/>
          <w:highlight w:val="none"/>
          <w:lang w:val="en-US" w:eastAsia="zh-CN" w:bidi="ar-SA"/>
        </w:rPr>
        <w:t>极端天气影响持续加剧。</w:t>
      </w:r>
      <w:r>
        <w:rPr>
          <w:rFonts w:hint="eastAsia" w:ascii="Times New Roman" w:hAnsi="Times New Roman" w:eastAsia="仿宋" w:cs="仿宋"/>
          <w:bCs w:val="0"/>
          <w:color w:val="auto"/>
          <w:kern w:val="2"/>
          <w:sz w:val="32"/>
          <w:szCs w:val="32"/>
          <w:highlight w:val="none"/>
          <w:lang w:val="en-US" w:eastAsia="zh-CN" w:bidi="ar-SA"/>
        </w:rPr>
        <w:t>在全球气候变暖加剧背景下，干旱、洪涝、高温、台风等极端天气事件频发，旱涝急转、冷暖骤变、冻旱交加等复合型灾害风险上升</w:t>
      </w:r>
      <w:r>
        <w:rPr>
          <w:rFonts w:hint="eastAsia" w:cs="仿宋"/>
          <w:bCs w:val="0"/>
          <w:color w:val="auto"/>
          <w:kern w:val="2"/>
          <w:sz w:val="32"/>
          <w:szCs w:val="32"/>
          <w:highlight w:val="none"/>
          <w:lang w:val="en-US" w:eastAsia="zh-CN" w:bidi="ar-SA"/>
        </w:rPr>
        <w:t>，</w:t>
      </w:r>
      <w:r>
        <w:rPr>
          <w:rFonts w:hint="eastAsia" w:ascii="Times New Roman" w:hAnsi="Times New Roman" w:eastAsia="仿宋" w:cs="仿宋"/>
          <w:bCs w:val="0"/>
          <w:color w:val="auto"/>
          <w:kern w:val="2"/>
          <w:sz w:val="32"/>
          <w:szCs w:val="32"/>
          <w:highlight w:val="none"/>
          <w:lang w:val="en-US" w:eastAsia="zh-CN" w:bidi="ar-SA"/>
        </w:rPr>
        <w:t>严重影响作物产量与品质，对全球粮食安全构成威胁，造成重大经济损失。未来农业发展应更加注重科技赋能、多元布局与风险防控，通过政策创新与技术突破，全面提升粮食安全保障能力和农业可持续发展水平。</w:t>
      </w:r>
    </w:p>
    <w:p w14:paraId="2699E99D">
      <w:pPr>
        <w:pStyle w:val="19"/>
        <w:rPr>
          <w:rFonts w:hint="default" w:ascii="Times New Roman" w:hAnsi="Times New Roman" w:cs="Times New Roman"/>
          <w:i w:val="0"/>
          <w:iCs w:val="0"/>
          <w:caps w:val="0"/>
          <w:color w:val="auto"/>
          <w:spacing w:val="0"/>
          <w:sz w:val="32"/>
          <w:szCs w:val="22"/>
          <w:shd w:val="clear" w:fill="auto"/>
          <w:lang w:val="en-US" w:eastAsia="zh-CN"/>
        </w:rPr>
      </w:pPr>
      <w:r>
        <w:rPr>
          <w:rFonts w:hint="eastAsia" w:ascii="Times New Roman" w:hAnsi="Times New Roman" w:cs="Times New Roman"/>
          <w:b/>
          <w:bCs/>
          <w:i w:val="0"/>
          <w:iCs w:val="0"/>
          <w:caps w:val="0"/>
          <w:color w:val="auto"/>
          <w:spacing w:val="0"/>
          <w:sz w:val="32"/>
          <w:szCs w:val="22"/>
          <w:shd w:val="clear" w:fill="auto"/>
          <w:lang w:val="en-US" w:eastAsia="zh-CN"/>
        </w:rPr>
        <w:t>人才结构性失衡问题凸显。</w:t>
      </w:r>
      <w:r>
        <w:rPr>
          <w:rFonts w:hint="default" w:ascii="Times New Roman" w:hAnsi="Times New Roman" w:cs="Times New Roman"/>
          <w:i w:val="0"/>
          <w:iCs w:val="0"/>
          <w:caps w:val="0"/>
          <w:color w:val="auto"/>
          <w:spacing w:val="0"/>
          <w:sz w:val="32"/>
          <w:szCs w:val="22"/>
          <w:shd w:val="clear" w:fill="auto"/>
          <w:lang w:val="en-US" w:eastAsia="zh-CN"/>
        </w:rPr>
        <w:t>随着城镇化进程加快</w:t>
      </w:r>
      <w:r>
        <w:rPr>
          <w:rFonts w:hint="eastAsia" w:ascii="Times New Roman" w:hAnsi="Times New Roman" w:cs="Times New Roman"/>
          <w:i w:val="0"/>
          <w:iCs w:val="0"/>
          <w:caps w:val="0"/>
          <w:color w:val="auto"/>
          <w:spacing w:val="0"/>
          <w:sz w:val="32"/>
          <w:szCs w:val="22"/>
          <w:shd w:val="clear" w:fill="auto"/>
          <w:lang w:val="en-US" w:eastAsia="zh-CN"/>
        </w:rPr>
        <w:t>，</w:t>
      </w:r>
      <w:r>
        <w:rPr>
          <w:rFonts w:hint="default" w:ascii="Times New Roman" w:hAnsi="Times New Roman" w:cs="Times New Roman"/>
          <w:i w:val="0"/>
          <w:iCs w:val="0"/>
          <w:caps w:val="0"/>
          <w:color w:val="auto"/>
          <w:spacing w:val="0"/>
          <w:sz w:val="32"/>
          <w:szCs w:val="22"/>
          <w:shd w:val="clear" w:fill="auto"/>
          <w:lang w:val="en-US" w:eastAsia="zh-CN"/>
        </w:rPr>
        <w:t>农村空心化、人口老龄化等问题日益突出</w:t>
      </w:r>
      <w:r>
        <w:rPr>
          <w:rFonts w:hint="eastAsia" w:ascii="Times New Roman" w:hAnsi="Times New Roman" w:cs="Times New Roman"/>
          <w:i w:val="0"/>
          <w:iCs w:val="0"/>
          <w:caps w:val="0"/>
          <w:color w:val="auto"/>
          <w:spacing w:val="0"/>
          <w:sz w:val="32"/>
          <w:szCs w:val="22"/>
          <w:shd w:val="clear" w:fill="auto"/>
          <w:lang w:val="en-US" w:eastAsia="zh-CN"/>
        </w:rPr>
        <w:t>，</w:t>
      </w:r>
      <w:r>
        <w:rPr>
          <w:rFonts w:hint="default" w:ascii="Times New Roman" w:hAnsi="Times New Roman" w:cs="Times New Roman"/>
          <w:i w:val="0"/>
          <w:iCs w:val="0"/>
          <w:caps w:val="0"/>
          <w:color w:val="auto"/>
          <w:spacing w:val="0"/>
          <w:sz w:val="32"/>
          <w:szCs w:val="22"/>
          <w:shd w:val="clear" w:fill="auto"/>
          <w:lang w:val="en-US" w:eastAsia="zh-CN"/>
        </w:rPr>
        <w:t>农业生产面临</w:t>
      </w:r>
      <w:r>
        <w:rPr>
          <w:rFonts w:hint="eastAsia" w:ascii="Times New Roman" w:hAnsi="Times New Roman" w:cs="Times New Roman"/>
          <w:i w:val="0"/>
          <w:iCs w:val="0"/>
          <w:caps w:val="0"/>
          <w:color w:val="auto"/>
          <w:spacing w:val="0"/>
          <w:sz w:val="32"/>
          <w:szCs w:val="22"/>
          <w:shd w:val="clear" w:fill="auto"/>
          <w:lang w:val="en-US" w:eastAsia="zh-CN"/>
        </w:rPr>
        <w:t>“</w:t>
      </w:r>
      <w:r>
        <w:rPr>
          <w:rFonts w:hint="default" w:ascii="Times New Roman" w:hAnsi="Times New Roman" w:cs="Times New Roman"/>
          <w:i w:val="0"/>
          <w:iCs w:val="0"/>
          <w:caps w:val="0"/>
          <w:color w:val="auto"/>
          <w:spacing w:val="0"/>
          <w:sz w:val="32"/>
          <w:szCs w:val="22"/>
          <w:shd w:val="clear" w:fill="auto"/>
          <w:lang w:val="en-US" w:eastAsia="zh-CN"/>
        </w:rPr>
        <w:t>用工难、效率低、风险高</w:t>
      </w:r>
      <w:r>
        <w:rPr>
          <w:rFonts w:hint="eastAsia" w:ascii="Times New Roman" w:hAnsi="Times New Roman" w:cs="Times New Roman"/>
          <w:i w:val="0"/>
          <w:iCs w:val="0"/>
          <w:caps w:val="0"/>
          <w:color w:val="auto"/>
          <w:spacing w:val="0"/>
          <w:sz w:val="32"/>
          <w:szCs w:val="22"/>
          <w:shd w:val="clear" w:fill="auto"/>
          <w:lang w:val="en-US" w:eastAsia="zh-CN"/>
        </w:rPr>
        <w:t>”</w:t>
      </w:r>
      <w:r>
        <w:rPr>
          <w:rFonts w:hint="default" w:ascii="Times New Roman" w:hAnsi="Times New Roman" w:cs="Times New Roman"/>
          <w:i w:val="0"/>
          <w:iCs w:val="0"/>
          <w:caps w:val="0"/>
          <w:color w:val="auto"/>
          <w:spacing w:val="0"/>
          <w:sz w:val="32"/>
          <w:szCs w:val="22"/>
          <w:shd w:val="clear" w:fill="auto"/>
          <w:lang w:val="en-US" w:eastAsia="zh-CN"/>
        </w:rPr>
        <w:t>三重困境。</w:t>
      </w:r>
      <w:r>
        <w:rPr>
          <w:rFonts w:hint="eastAsia" w:ascii="Times New Roman" w:hAnsi="Times New Roman" w:cs="Times New Roman"/>
          <w:i w:val="0"/>
          <w:iCs w:val="0"/>
          <w:caps w:val="0"/>
          <w:color w:val="auto"/>
          <w:spacing w:val="0"/>
          <w:sz w:val="32"/>
          <w:szCs w:val="22"/>
          <w:shd w:val="clear" w:fill="auto"/>
          <w:lang w:val="en-US" w:eastAsia="zh-CN"/>
        </w:rPr>
        <w:t>海陵区是泰州市中心城区，常住人口城镇化率超过90%，从事农业人员较少且普遍年龄老化，新型职业农民力量不足。如何</w:t>
      </w:r>
      <w:r>
        <w:rPr>
          <w:rFonts w:hint="default" w:ascii="Times New Roman" w:hAnsi="Times New Roman" w:cs="Times New Roman"/>
          <w:i w:val="0"/>
          <w:iCs w:val="0"/>
          <w:caps w:val="0"/>
          <w:color w:val="auto"/>
          <w:spacing w:val="0"/>
          <w:sz w:val="32"/>
          <w:szCs w:val="22"/>
          <w:shd w:val="clear" w:fill="auto"/>
          <w:lang w:val="en-US" w:eastAsia="zh-CN"/>
        </w:rPr>
        <w:t>有效缓解</w:t>
      </w:r>
      <w:r>
        <w:rPr>
          <w:rFonts w:hint="eastAsia" w:ascii="Times New Roman" w:hAnsi="Times New Roman" w:cs="Times New Roman"/>
          <w:i w:val="0"/>
          <w:iCs w:val="0"/>
          <w:caps w:val="0"/>
          <w:color w:val="auto"/>
          <w:spacing w:val="0"/>
          <w:sz w:val="32"/>
          <w:szCs w:val="22"/>
          <w:shd w:val="clear" w:fill="auto"/>
          <w:lang w:val="en-US" w:eastAsia="zh-CN"/>
        </w:rPr>
        <w:t>人才</w:t>
      </w:r>
      <w:r>
        <w:rPr>
          <w:rFonts w:hint="default" w:ascii="Times New Roman" w:hAnsi="Times New Roman" w:cs="Times New Roman"/>
          <w:i w:val="0"/>
          <w:iCs w:val="0"/>
          <w:caps w:val="0"/>
          <w:color w:val="auto"/>
          <w:spacing w:val="0"/>
          <w:sz w:val="32"/>
          <w:szCs w:val="22"/>
          <w:shd w:val="clear" w:fill="auto"/>
          <w:lang w:val="en-US" w:eastAsia="zh-CN"/>
        </w:rPr>
        <w:t>结构性</w:t>
      </w:r>
      <w:r>
        <w:rPr>
          <w:rFonts w:hint="eastAsia" w:ascii="Times New Roman" w:hAnsi="Times New Roman" w:cs="Times New Roman"/>
          <w:i w:val="0"/>
          <w:iCs w:val="0"/>
          <w:caps w:val="0"/>
          <w:color w:val="auto"/>
          <w:spacing w:val="0"/>
          <w:sz w:val="32"/>
          <w:szCs w:val="22"/>
          <w:shd w:val="clear" w:fill="auto"/>
          <w:lang w:val="en-US" w:eastAsia="zh-CN"/>
        </w:rPr>
        <w:t>失衡</w:t>
      </w:r>
      <w:r>
        <w:rPr>
          <w:rFonts w:hint="default" w:ascii="Times New Roman" w:hAnsi="Times New Roman" w:cs="Times New Roman"/>
          <w:i w:val="0"/>
          <w:iCs w:val="0"/>
          <w:caps w:val="0"/>
          <w:color w:val="auto"/>
          <w:spacing w:val="0"/>
          <w:sz w:val="32"/>
          <w:szCs w:val="22"/>
          <w:shd w:val="clear" w:fill="auto"/>
          <w:lang w:val="en-US" w:eastAsia="zh-CN"/>
        </w:rPr>
        <w:t>问题、实现城乡要素双向流动，</w:t>
      </w:r>
      <w:r>
        <w:rPr>
          <w:rFonts w:hint="eastAsia" w:ascii="Times New Roman" w:hAnsi="Times New Roman" w:cs="Times New Roman"/>
          <w:i w:val="0"/>
          <w:iCs w:val="0"/>
          <w:caps w:val="0"/>
          <w:color w:val="auto"/>
          <w:spacing w:val="0"/>
          <w:sz w:val="32"/>
          <w:szCs w:val="22"/>
          <w:shd w:val="clear" w:fill="auto"/>
          <w:lang w:val="en-US" w:eastAsia="zh-CN"/>
        </w:rPr>
        <w:t>是</w:t>
      </w:r>
      <w:r>
        <w:rPr>
          <w:rFonts w:hint="default" w:ascii="Times New Roman" w:hAnsi="Times New Roman" w:cs="Times New Roman"/>
          <w:i w:val="0"/>
          <w:iCs w:val="0"/>
          <w:caps w:val="0"/>
          <w:color w:val="auto"/>
          <w:spacing w:val="0"/>
          <w:sz w:val="32"/>
          <w:szCs w:val="22"/>
          <w:shd w:val="clear" w:fill="auto"/>
          <w:lang w:val="en-US" w:eastAsia="zh-CN"/>
        </w:rPr>
        <w:t>当前</w:t>
      </w:r>
      <w:r>
        <w:rPr>
          <w:rFonts w:hint="eastAsia" w:ascii="Times New Roman" w:hAnsi="Times New Roman" w:cs="Times New Roman"/>
          <w:i w:val="0"/>
          <w:iCs w:val="0"/>
          <w:caps w:val="0"/>
          <w:color w:val="auto"/>
          <w:spacing w:val="0"/>
          <w:sz w:val="32"/>
          <w:szCs w:val="22"/>
          <w:shd w:val="clear" w:fill="auto"/>
          <w:lang w:val="en-US" w:eastAsia="zh-CN"/>
        </w:rPr>
        <w:t>海陵区</w:t>
      </w:r>
      <w:r>
        <w:rPr>
          <w:rFonts w:hint="default" w:ascii="Times New Roman" w:hAnsi="Times New Roman" w:cs="Times New Roman"/>
          <w:i w:val="0"/>
          <w:iCs w:val="0"/>
          <w:caps w:val="0"/>
          <w:color w:val="auto"/>
          <w:spacing w:val="0"/>
          <w:sz w:val="32"/>
          <w:szCs w:val="22"/>
          <w:shd w:val="clear" w:fill="auto"/>
          <w:lang w:val="en-US" w:eastAsia="zh-CN"/>
        </w:rPr>
        <w:t>农业农村发展必须着力破解的</w:t>
      </w:r>
      <w:r>
        <w:rPr>
          <w:rFonts w:hint="eastAsia" w:ascii="Times New Roman" w:hAnsi="Times New Roman" w:cs="Times New Roman"/>
          <w:i w:val="0"/>
          <w:iCs w:val="0"/>
          <w:caps w:val="0"/>
          <w:color w:val="auto"/>
          <w:spacing w:val="0"/>
          <w:sz w:val="32"/>
          <w:szCs w:val="22"/>
          <w:shd w:val="clear" w:fill="auto"/>
          <w:lang w:val="en-US" w:eastAsia="zh-CN"/>
        </w:rPr>
        <w:t>重要</w:t>
      </w:r>
      <w:r>
        <w:rPr>
          <w:rFonts w:hint="default" w:ascii="Times New Roman" w:hAnsi="Times New Roman" w:cs="Times New Roman"/>
          <w:i w:val="0"/>
          <w:iCs w:val="0"/>
          <w:caps w:val="0"/>
          <w:color w:val="auto"/>
          <w:spacing w:val="0"/>
          <w:sz w:val="32"/>
          <w:szCs w:val="22"/>
          <w:shd w:val="clear" w:fill="auto"/>
          <w:lang w:val="en-US" w:eastAsia="zh-CN"/>
        </w:rPr>
        <w:t>课题。</w:t>
      </w:r>
    </w:p>
    <w:p w14:paraId="65E73E9E">
      <w:pPr>
        <w:pStyle w:val="19"/>
        <w:rPr>
          <w:rFonts w:hint="eastAsia" w:ascii="Times New Roman" w:hAnsi="Times New Roman" w:cs="Times New Roman"/>
          <w:i w:val="0"/>
          <w:iCs w:val="0"/>
          <w:caps w:val="0"/>
          <w:color w:val="auto"/>
          <w:spacing w:val="0"/>
          <w:sz w:val="32"/>
          <w:szCs w:val="22"/>
          <w:shd w:val="clear" w:fill="auto"/>
          <w:lang w:val="en-US" w:eastAsia="zh-CN"/>
        </w:rPr>
      </w:pPr>
      <w:r>
        <w:rPr>
          <w:rFonts w:hint="eastAsia" w:ascii="Times New Roman" w:hAnsi="Times New Roman" w:cs="Times New Roman"/>
          <w:b/>
          <w:bCs/>
          <w:i w:val="0"/>
          <w:iCs w:val="0"/>
          <w:caps w:val="0"/>
          <w:color w:val="auto"/>
          <w:spacing w:val="0"/>
          <w:sz w:val="32"/>
          <w:szCs w:val="22"/>
          <w:shd w:val="clear" w:fill="auto"/>
          <w:lang w:val="en-US" w:eastAsia="zh-CN"/>
        </w:rPr>
        <w:t>资源要素日益趋紧。</w:t>
      </w:r>
      <w:r>
        <w:rPr>
          <w:rFonts w:hint="eastAsia" w:ascii="Times New Roman" w:hAnsi="Times New Roman" w:cs="Times New Roman"/>
          <w:i w:val="0"/>
          <w:iCs w:val="0"/>
          <w:caps w:val="0"/>
          <w:color w:val="auto"/>
          <w:spacing w:val="0"/>
          <w:sz w:val="32"/>
          <w:szCs w:val="22"/>
          <w:shd w:val="clear" w:fill="auto"/>
          <w:lang w:val="en-US" w:eastAsia="zh-CN"/>
        </w:rPr>
        <w:t>海陵区作为主城区，人多地少的矛盾较为突出，资源丰富但土地碎片化问题严重，农业产业发展所需的土地空间稀缺，低效闲置资源盘活利用不够充分，村级集体经济持续发展能力仍需增强。此外，用于现代农业设施建设的用地指标较为紧缺，项目落地难或者等待批复的周期长等问题，制约了相关项目的推进。</w:t>
      </w:r>
    </w:p>
    <w:p w14:paraId="2BDE9C33">
      <w:r>
        <w:br w:type="page"/>
      </w:r>
    </w:p>
    <w:p w14:paraId="5DCEDA78">
      <w:pPr>
        <w:pStyle w:val="3"/>
        <w:bidi w:val="0"/>
        <w:rPr>
          <w:color w:val="auto"/>
        </w:rPr>
      </w:pPr>
      <w:bookmarkStart w:id="18" w:name="_Toc9504"/>
      <w:bookmarkStart w:id="19" w:name="_Toc16597"/>
      <w:bookmarkStart w:id="20" w:name="_Toc12829"/>
      <w:bookmarkStart w:id="21" w:name="_Toc17315"/>
      <w:bookmarkStart w:id="22" w:name="_Toc25696"/>
      <w:r>
        <w:rPr>
          <w:color w:val="auto"/>
        </w:rPr>
        <w:fldChar w:fldCharType="begin"/>
      </w:r>
      <w:r>
        <w:rPr>
          <w:color w:val="auto"/>
        </w:rPr>
        <w:instrText xml:space="preserve"> HYPERLINK \l _Toc10131 </w:instrText>
      </w:r>
      <w:r>
        <w:rPr>
          <w:color w:val="auto"/>
        </w:rPr>
        <w:fldChar w:fldCharType="separate"/>
      </w:r>
      <w:r>
        <w:rPr>
          <w:rFonts w:hint="eastAsia"/>
          <w:color w:val="auto"/>
        </w:rPr>
        <w:t>第二章 总体要求</w:t>
      </w:r>
      <w:r>
        <w:rPr>
          <w:color w:val="auto"/>
        </w:rPr>
        <w:fldChar w:fldCharType="end"/>
      </w:r>
      <w:bookmarkEnd w:id="18"/>
      <w:bookmarkEnd w:id="19"/>
      <w:bookmarkEnd w:id="20"/>
      <w:bookmarkEnd w:id="21"/>
      <w:bookmarkEnd w:id="22"/>
    </w:p>
    <w:p w14:paraId="28F949D7">
      <w:pPr>
        <w:pStyle w:val="4"/>
        <w:bidi w:val="0"/>
      </w:pPr>
      <w:bookmarkStart w:id="23" w:name="_Toc5561"/>
      <w:bookmarkStart w:id="24" w:name="_Toc22109"/>
      <w:bookmarkStart w:id="25" w:name="_Toc30885"/>
      <w:bookmarkStart w:id="26" w:name="_Toc17592"/>
      <w:bookmarkStart w:id="27" w:name="_Toc7708"/>
      <w:r>
        <w:fldChar w:fldCharType="begin"/>
      </w:r>
      <w:r>
        <w:instrText xml:space="preserve"> HYPERLINK \l _Toc20848 </w:instrText>
      </w:r>
      <w:r>
        <w:fldChar w:fldCharType="separate"/>
      </w:r>
      <w:r>
        <w:rPr>
          <w:rFonts w:hint="eastAsia"/>
        </w:rPr>
        <w:t>第一节 指导思想</w:t>
      </w:r>
      <w:r>
        <w:fldChar w:fldCharType="end"/>
      </w:r>
      <w:bookmarkEnd w:id="23"/>
      <w:bookmarkEnd w:id="24"/>
      <w:bookmarkEnd w:id="25"/>
      <w:bookmarkEnd w:id="26"/>
      <w:bookmarkEnd w:id="27"/>
    </w:p>
    <w:p w14:paraId="7BD55E7E">
      <w:pPr>
        <w:bidi w:val="0"/>
        <w:rPr>
          <w:rFonts w:hint="eastAsia" w:eastAsia="仿宋" w:cs="Times New Roman"/>
          <w:bCs w:val="0"/>
          <w:kern w:val="2"/>
          <w:sz w:val="32"/>
          <w:szCs w:val="22"/>
          <w:lang w:val="en-US" w:eastAsia="zh-CN" w:bidi="ar-SA"/>
        </w:rPr>
      </w:pPr>
      <w:r>
        <w:rPr>
          <w:rFonts w:hint="eastAsia"/>
          <w:lang w:val="en-US" w:eastAsia="zh-CN"/>
        </w:rPr>
        <w:t>全面贯彻落实党的二十大和二十届历次全会精神</w:t>
      </w:r>
      <w:r>
        <w:rPr>
          <w:rFonts w:hint="eastAsia"/>
          <w:lang w:eastAsia="zh-CN"/>
        </w:rPr>
        <w:t>，</w:t>
      </w:r>
      <w:r>
        <w:rPr>
          <w:rFonts w:hint="eastAsia"/>
        </w:rPr>
        <w:t>深入</w:t>
      </w:r>
      <w:r>
        <w:rPr>
          <w:rFonts w:hint="eastAsia"/>
          <w:lang w:val="en-US" w:eastAsia="zh-CN"/>
        </w:rPr>
        <w:t>落实</w:t>
      </w:r>
      <w:r>
        <w:rPr>
          <w:rFonts w:hint="eastAsia"/>
        </w:rPr>
        <w:t>习近平总书记关于</w:t>
      </w:r>
      <w:r>
        <w:rPr>
          <w:rFonts w:hint="eastAsia"/>
          <w:lang w:eastAsia="zh-CN"/>
        </w:rPr>
        <w:t>“</w:t>
      </w:r>
      <w:r>
        <w:rPr>
          <w:rFonts w:hint="eastAsia"/>
        </w:rPr>
        <w:t>三农</w:t>
      </w:r>
      <w:r>
        <w:rPr>
          <w:rFonts w:hint="eastAsia"/>
          <w:lang w:eastAsia="zh-CN"/>
        </w:rPr>
        <w:t>”</w:t>
      </w:r>
      <w:r>
        <w:rPr>
          <w:rFonts w:hint="eastAsia"/>
        </w:rPr>
        <w:t>工作的重要论述和</w:t>
      </w:r>
      <w:r>
        <w:rPr>
          <w:rFonts w:hint="eastAsia"/>
          <w:lang w:val="en-US" w:eastAsia="zh-CN"/>
        </w:rPr>
        <w:t>考察</w:t>
      </w:r>
      <w:r>
        <w:rPr>
          <w:rFonts w:hint="eastAsia"/>
        </w:rPr>
        <w:t>江苏重要讲话精神</w:t>
      </w:r>
      <w:r>
        <w:rPr>
          <w:rFonts w:hint="eastAsia"/>
          <w:lang w:eastAsia="zh-CN"/>
        </w:rPr>
        <w:t>，</w:t>
      </w:r>
      <w:r>
        <w:rPr>
          <w:rFonts w:hint="eastAsia"/>
          <w:lang w:val="en-US" w:eastAsia="zh-CN"/>
        </w:rPr>
        <w:t>按照</w:t>
      </w:r>
      <w:r>
        <w:rPr>
          <w:rFonts w:hint="eastAsia"/>
        </w:rPr>
        <w:t>中央、省、市农村工作会议</w:t>
      </w:r>
      <w:r>
        <w:rPr>
          <w:rFonts w:hint="eastAsia"/>
          <w:lang w:val="en-US" w:eastAsia="zh-CN"/>
        </w:rPr>
        <w:t>部署</w:t>
      </w:r>
      <w:r>
        <w:rPr>
          <w:rFonts w:hint="eastAsia"/>
        </w:rPr>
        <w:t>，</w:t>
      </w:r>
      <w:r>
        <w:rPr>
          <w:rFonts w:hint="eastAsia" w:eastAsia="仿宋" w:cs="Times New Roman"/>
          <w:bCs w:val="0"/>
          <w:kern w:val="2"/>
          <w:sz w:val="32"/>
          <w:szCs w:val="22"/>
          <w:lang w:val="en-US" w:eastAsia="zh-CN" w:bidi="ar-SA"/>
        </w:rPr>
        <w:t>坚持农业农村优先发展，</w:t>
      </w:r>
      <w:r>
        <w:rPr>
          <w:rFonts w:hint="eastAsia" w:cs="Times New Roman"/>
          <w:bCs w:val="0"/>
          <w:kern w:val="2"/>
          <w:sz w:val="32"/>
          <w:szCs w:val="22"/>
          <w:lang w:val="en-US" w:eastAsia="zh-CN" w:bidi="ar-SA"/>
        </w:rPr>
        <w:t>坚持城乡融合发展，</w:t>
      </w:r>
      <w:r>
        <w:rPr>
          <w:rFonts w:hint="eastAsia" w:eastAsia="仿宋" w:cs="Times New Roman"/>
          <w:bCs w:val="0"/>
          <w:kern w:val="2"/>
          <w:sz w:val="32"/>
          <w:szCs w:val="22"/>
          <w:lang w:val="en-US" w:eastAsia="zh-CN" w:bidi="ar-SA"/>
        </w:rPr>
        <w:t>学习运用</w:t>
      </w:r>
      <w:r>
        <w:rPr>
          <w:rFonts w:hint="eastAsia" w:cs="Times New Roman"/>
          <w:bCs w:val="0"/>
          <w:kern w:val="2"/>
          <w:sz w:val="32"/>
          <w:szCs w:val="22"/>
          <w:lang w:val="en-US" w:eastAsia="zh-CN" w:bidi="ar-SA"/>
        </w:rPr>
        <w:t>“</w:t>
      </w:r>
      <w:r>
        <w:rPr>
          <w:rFonts w:hint="eastAsia" w:eastAsia="仿宋" w:cs="Times New Roman"/>
          <w:bCs w:val="0"/>
          <w:kern w:val="2"/>
          <w:sz w:val="32"/>
          <w:szCs w:val="22"/>
          <w:lang w:val="en-US" w:eastAsia="zh-CN" w:bidi="ar-SA"/>
        </w:rPr>
        <w:t>千万工程</w:t>
      </w:r>
      <w:r>
        <w:rPr>
          <w:rFonts w:hint="eastAsia" w:cs="Times New Roman"/>
          <w:bCs w:val="0"/>
          <w:kern w:val="2"/>
          <w:sz w:val="32"/>
          <w:szCs w:val="22"/>
          <w:lang w:val="en-US" w:eastAsia="zh-CN" w:bidi="ar-SA"/>
        </w:rPr>
        <w:t>”</w:t>
      </w:r>
      <w:r>
        <w:rPr>
          <w:rFonts w:hint="eastAsia" w:eastAsia="仿宋" w:cs="Times New Roman"/>
          <w:bCs w:val="0"/>
          <w:kern w:val="2"/>
          <w:sz w:val="32"/>
          <w:szCs w:val="22"/>
          <w:lang w:val="en-US" w:eastAsia="zh-CN" w:bidi="ar-SA"/>
        </w:rPr>
        <w:t>经验，立足</w:t>
      </w:r>
      <w:r>
        <w:rPr>
          <w:rFonts w:hint="eastAsia" w:cs="Times New Roman"/>
          <w:bCs w:val="0"/>
          <w:kern w:val="2"/>
          <w:sz w:val="32"/>
          <w:szCs w:val="22"/>
          <w:lang w:val="en-US" w:eastAsia="zh-CN" w:bidi="ar-SA"/>
        </w:rPr>
        <w:t>“</w:t>
      </w:r>
      <w:r>
        <w:rPr>
          <w:rFonts w:hint="eastAsia" w:eastAsia="仿宋" w:cs="Times New Roman"/>
          <w:bCs w:val="0"/>
          <w:kern w:val="2"/>
          <w:sz w:val="32"/>
          <w:szCs w:val="22"/>
          <w:lang w:val="en-US" w:eastAsia="zh-CN" w:bidi="ar-SA"/>
        </w:rPr>
        <w:t>都市城郊型农业</w:t>
      </w:r>
      <w:r>
        <w:rPr>
          <w:rFonts w:hint="eastAsia" w:cs="Times New Roman"/>
          <w:bCs w:val="0"/>
          <w:kern w:val="2"/>
          <w:sz w:val="32"/>
          <w:szCs w:val="22"/>
          <w:lang w:val="en-US" w:eastAsia="zh-CN" w:bidi="ar-SA"/>
        </w:rPr>
        <w:t>”</w:t>
      </w:r>
      <w:r>
        <w:rPr>
          <w:rFonts w:hint="eastAsia" w:eastAsia="仿宋" w:cs="Times New Roman"/>
          <w:bCs w:val="0"/>
          <w:kern w:val="2"/>
          <w:sz w:val="32"/>
          <w:szCs w:val="22"/>
          <w:lang w:val="en-US" w:eastAsia="zh-CN" w:bidi="ar-SA"/>
        </w:rPr>
        <w:t>发展定位</w:t>
      </w:r>
      <w:r>
        <w:rPr>
          <w:rFonts w:hint="eastAsia" w:cs="Times New Roman"/>
          <w:bCs w:val="0"/>
          <w:kern w:val="2"/>
          <w:sz w:val="32"/>
          <w:szCs w:val="22"/>
          <w:lang w:val="en-US" w:eastAsia="zh-CN" w:bidi="ar-SA"/>
        </w:rPr>
        <w:t>，推动“农文旅商创居”六维融合，把海陵区乡村地区逐步转化为主城的功能延伸区、消费承接区、活力拓展区，打造都市近郊型乡村振兴样板，形成“城乡互通、要素互融、价值互促”的乡村振兴新格局，为“幸福海陵”现代化建设提供坚实支撑</w:t>
      </w:r>
      <w:r>
        <w:rPr>
          <w:rFonts w:hint="eastAsia" w:eastAsia="仿宋" w:cs="Times New Roman"/>
          <w:bCs w:val="0"/>
          <w:kern w:val="2"/>
          <w:sz w:val="32"/>
          <w:szCs w:val="22"/>
          <w:lang w:val="en-US" w:eastAsia="zh-CN" w:bidi="ar-SA"/>
        </w:rPr>
        <w:t>。</w:t>
      </w:r>
    </w:p>
    <w:p w14:paraId="2DE3E5A6">
      <w:pPr>
        <w:pStyle w:val="4"/>
        <w:bidi w:val="0"/>
      </w:pPr>
      <w:bookmarkStart w:id="28" w:name="_Toc3797"/>
      <w:bookmarkStart w:id="29" w:name="_Toc2965"/>
      <w:bookmarkStart w:id="30" w:name="_Toc16380"/>
      <w:bookmarkStart w:id="31" w:name="_Toc17663"/>
      <w:bookmarkStart w:id="32" w:name="_Toc28685"/>
      <w:r>
        <w:fldChar w:fldCharType="begin"/>
      </w:r>
      <w:r>
        <w:instrText xml:space="preserve"> HYPERLINK \l _Toc2412 </w:instrText>
      </w:r>
      <w:r>
        <w:fldChar w:fldCharType="separate"/>
      </w:r>
      <w:r>
        <w:rPr>
          <w:rFonts w:hint="eastAsia"/>
        </w:rPr>
        <w:t>第二节 基本原则</w:t>
      </w:r>
      <w:r>
        <w:fldChar w:fldCharType="end"/>
      </w:r>
      <w:bookmarkEnd w:id="28"/>
      <w:bookmarkEnd w:id="29"/>
      <w:bookmarkEnd w:id="30"/>
      <w:bookmarkEnd w:id="31"/>
      <w:bookmarkEnd w:id="32"/>
    </w:p>
    <w:p w14:paraId="4A5D4244">
      <w:pPr>
        <w:ind w:firstLine="643"/>
        <w:rPr>
          <w:rFonts w:hint="eastAsia"/>
          <w:b/>
          <w:bCs/>
          <w:lang w:val="en-US" w:eastAsia="zh-CN"/>
        </w:rPr>
      </w:pPr>
      <w:r>
        <w:rPr>
          <w:rFonts w:hint="eastAsia"/>
          <w:b/>
          <w:bCs/>
          <w:highlight w:val="none"/>
          <w:lang w:val="en-US" w:eastAsia="zh-CN"/>
        </w:rPr>
        <w:t>提质增效，深度融合。</w:t>
      </w:r>
      <w:r>
        <w:rPr>
          <w:rFonts w:hint="eastAsia"/>
          <w:b w:val="0"/>
          <w:bCs w:val="0"/>
          <w:lang w:val="en-US" w:eastAsia="zh-CN"/>
        </w:rPr>
        <w:t>推动产业深度融合与业态模式创新，</w:t>
      </w:r>
      <w:r>
        <w:rPr>
          <w:rFonts w:hint="eastAsia"/>
          <w:lang w:val="en-US" w:eastAsia="zh-CN"/>
        </w:rPr>
        <w:t>构建特色鲜明的全产业链体系，加快全链条升级、全环节增值、全产业融合。探索产业新形态和消费新场景，深化农文旅融合，实现资源的高效配置与价值提升。</w:t>
      </w:r>
    </w:p>
    <w:p w14:paraId="2C05E294">
      <w:pPr>
        <w:rPr>
          <w:rFonts w:hint="default"/>
          <w:lang w:val="en-US" w:eastAsia="zh-CN"/>
        </w:rPr>
      </w:pPr>
      <w:r>
        <w:rPr>
          <w:rFonts w:hint="eastAsia"/>
          <w:b/>
          <w:bCs/>
          <w:lang w:val="en-US" w:eastAsia="zh-CN"/>
        </w:rPr>
        <w:t>创新驱动，科技引领。</w:t>
      </w:r>
      <w:r>
        <w:rPr>
          <w:rFonts w:hint="eastAsia"/>
          <w:lang w:val="en-US" w:eastAsia="zh-CN"/>
        </w:rPr>
        <w:t>推动科技创新、制度创新、管理创新协同发力，以科技创新引领先进生产要素集聚，因地制宜发展农业新质生产力，完善需求导向型现代农业科技体系建设，激发农业农村创新创业活力。</w:t>
      </w:r>
    </w:p>
    <w:p w14:paraId="347AE6AE">
      <w:pPr>
        <w:widowControl/>
        <w:rPr>
          <w:rFonts w:hint="eastAsia"/>
          <w:lang w:eastAsia="zh-CN"/>
        </w:rPr>
      </w:pPr>
      <w:r>
        <w:rPr>
          <w:rFonts w:hint="eastAsia"/>
          <w:b/>
          <w:bCs/>
        </w:rPr>
        <w:t>城乡</w:t>
      </w:r>
      <w:r>
        <w:rPr>
          <w:rFonts w:hint="eastAsia"/>
          <w:b/>
          <w:bCs/>
          <w:lang w:val="en-US" w:eastAsia="zh-CN"/>
        </w:rPr>
        <w:t>协同</w:t>
      </w:r>
      <w:r>
        <w:rPr>
          <w:rFonts w:hint="eastAsia"/>
          <w:b/>
          <w:bCs/>
        </w:rPr>
        <w:t>，</w:t>
      </w:r>
      <w:r>
        <w:rPr>
          <w:rFonts w:hint="eastAsia"/>
          <w:b/>
          <w:bCs/>
          <w:lang w:val="en-US" w:eastAsia="zh-CN"/>
        </w:rPr>
        <w:t>全域振兴</w:t>
      </w:r>
      <w:r>
        <w:rPr>
          <w:rFonts w:hint="eastAsia"/>
          <w:b/>
          <w:bCs/>
          <w:lang w:eastAsia="zh-CN"/>
        </w:rPr>
        <w:t>。</w:t>
      </w:r>
      <w:r>
        <w:rPr>
          <w:rFonts w:hint="eastAsia"/>
        </w:rPr>
        <w:t>推动基础设施互联、公共服务共享、产城深度互融</w:t>
      </w:r>
      <w:r>
        <w:rPr>
          <w:rFonts w:hint="eastAsia"/>
          <w:lang w:eastAsia="zh-CN"/>
        </w:rPr>
        <w:t>，</w:t>
      </w:r>
      <w:r>
        <w:rPr>
          <w:rFonts w:hint="eastAsia"/>
          <w:lang w:val="en-US" w:eastAsia="zh-CN"/>
        </w:rPr>
        <w:t>促进城乡要素双向流动，</w:t>
      </w:r>
      <w:r>
        <w:rPr>
          <w:rFonts w:hint="eastAsia"/>
        </w:rPr>
        <w:t>逐步缩小城乡差距、区镇差距、收入差距。加强</w:t>
      </w:r>
      <w:r>
        <w:rPr>
          <w:rFonts w:hint="eastAsia"/>
          <w:lang w:val="en-US" w:eastAsia="zh-CN"/>
        </w:rPr>
        <w:t>宜居宜业</w:t>
      </w:r>
      <w:r>
        <w:rPr>
          <w:rFonts w:hint="eastAsia"/>
        </w:rPr>
        <w:t>和美乡村建设，形成城乡互补、协调发展、共同繁荣的新型城乡格局</w:t>
      </w:r>
      <w:bookmarkStart w:id="33" w:name="_Toc12403"/>
      <w:r>
        <w:rPr>
          <w:rFonts w:hint="eastAsia"/>
          <w:lang w:eastAsia="zh-CN"/>
        </w:rPr>
        <w:t>。</w:t>
      </w:r>
    </w:p>
    <w:p w14:paraId="310133E1">
      <w:pPr>
        <w:rPr>
          <w:rFonts w:hint="eastAsia"/>
        </w:rPr>
      </w:pPr>
      <w:r>
        <w:rPr>
          <w:rFonts w:hint="eastAsia"/>
          <w:b/>
          <w:bCs/>
        </w:rPr>
        <w:t>改革赋能，系统突破</w:t>
      </w:r>
      <w:r>
        <w:rPr>
          <w:rFonts w:hint="eastAsia"/>
          <w:b/>
          <w:bCs/>
          <w:lang w:eastAsia="zh-CN"/>
        </w:rPr>
        <w:t>。</w:t>
      </w:r>
      <w:r>
        <w:rPr>
          <w:rFonts w:hint="eastAsia"/>
          <w:lang w:val="en-US" w:eastAsia="zh-CN"/>
        </w:rPr>
        <w:t>以深化改革为主线</w:t>
      </w:r>
      <w:r>
        <w:rPr>
          <w:rFonts w:hint="eastAsia"/>
        </w:rPr>
        <w:t>，聚焦土地制度、经营体系、要素流动等关键领域，激发农村资源活力。开展综合性改革试点，破解体制机制障碍，以改革创新塑造高质量发展新优势</w:t>
      </w:r>
      <w:r>
        <w:rPr>
          <w:rFonts w:hint="eastAsia"/>
          <w:lang w:eastAsia="zh-CN"/>
        </w:rPr>
        <w:t>，</w:t>
      </w:r>
      <w:r>
        <w:rPr>
          <w:rFonts w:hint="eastAsia"/>
        </w:rPr>
        <w:t>为农业农村现代化注入持久动能。</w:t>
      </w:r>
    </w:p>
    <w:p w14:paraId="2DDFA4F1">
      <w:pPr>
        <w:pStyle w:val="4"/>
        <w:bidi w:val="0"/>
        <w:rPr>
          <w:color w:val="auto"/>
          <w:highlight w:val="none"/>
        </w:rPr>
      </w:pPr>
      <w:bookmarkStart w:id="34" w:name="_Toc21569"/>
      <w:bookmarkStart w:id="35" w:name="_Toc11256"/>
      <w:bookmarkStart w:id="36" w:name="_Toc11798"/>
      <w:bookmarkStart w:id="37" w:name="_Toc18299"/>
      <w:r>
        <w:rPr>
          <w:color w:val="auto"/>
          <w:highlight w:val="none"/>
        </w:rPr>
        <w:fldChar w:fldCharType="begin"/>
      </w:r>
      <w:r>
        <w:rPr>
          <w:color w:val="auto"/>
          <w:highlight w:val="none"/>
        </w:rPr>
        <w:instrText xml:space="preserve"> HYPERLINK \l _Toc3628 </w:instrText>
      </w:r>
      <w:r>
        <w:rPr>
          <w:color w:val="auto"/>
          <w:highlight w:val="none"/>
        </w:rPr>
        <w:fldChar w:fldCharType="separate"/>
      </w:r>
      <w:r>
        <w:rPr>
          <w:rFonts w:hint="eastAsia"/>
          <w:color w:val="auto"/>
          <w:highlight w:val="none"/>
        </w:rPr>
        <w:t>第三节 发展目标</w:t>
      </w:r>
      <w:r>
        <w:rPr>
          <w:color w:val="auto"/>
          <w:highlight w:val="none"/>
        </w:rPr>
        <w:fldChar w:fldCharType="end"/>
      </w:r>
      <w:bookmarkEnd w:id="33"/>
      <w:bookmarkEnd w:id="34"/>
      <w:bookmarkEnd w:id="35"/>
      <w:bookmarkEnd w:id="36"/>
      <w:bookmarkEnd w:id="37"/>
    </w:p>
    <w:p w14:paraId="3626D92E">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textAlignment w:val="baseline"/>
        <w:rPr>
          <w:rFonts w:hint="default" w:eastAsia="仿宋"/>
          <w:lang w:val="en-US" w:eastAsia="zh-CN"/>
        </w:rPr>
      </w:pPr>
      <w:r>
        <w:rPr>
          <w:rFonts w:hint="default"/>
        </w:rPr>
        <w:t>到2030年，</w:t>
      </w:r>
      <w:r>
        <w:rPr>
          <w:rFonts w:hint="default"/>
          <w:color w:val="auto"/>
          <w:highlight w:val="none"/>
        </w:rPr>
        <w:t>乡村全面振兴取得决定性进展，</w:t>
      </w:r>
      <w:r>
        <w:rPr>
          <w:rFonts w:hint="eastAsia"/>
          <w:color w:val="auto"/>
          <w:highlight w:val="none"/>
          <w:lang w:val="en-US" w:eastAsia="zh-CN"/>
        </w:rPr>
        <w:t>率先基本实现农业农村现代化</w:t>
      </w:r>
      <w:r>
        <w:rPr>
          <w:rFonts w:hint="default"/>
          <w:color w:val="auto"/>
          <w:highlight w:val="none"/>
        </w:rPr>
        <w:t>。</w:t>
      </w:r>
      <w:r>
        <w:rPr>
          <w:rFonts w:hint="default"/>
        </w:rPr>
        <w:t>粮食等重要农副产品实现有效供给</w:t>
      </w:r>
      <w:r>
        <w:rPr>
          <w:rFonts w:hint="eastAsia"/>
          <w:lang w:eastAsia="zh-CN"/>
        </w:rPr>
        <w:t>，</w:t>
      </w:r>
      <w:r>
        <w:rPr>
          <w:rFonts w:hint="default"/>
        </w:rPr>
        <w:t>农业科技装备支撑持续强化，现代乡村产业体系基本健全，产业链供应链价值链延伸拓展</w:t>
      </w:r>
      <w:r>
        <w:rPr>
          <w:rFonts w:hint="eastAsia"/>
          <w:lang w:eastAsia="zh-CN"/>
        </w:rPr>
        <w:t>，</w:t>
      </w:r>
      <w:r>
        <w:rPr>
          <w:rFonts w:hint="default"/>
        </w:rPr>
        <w:t>农业质量效益和竞争力显著提升。农村生态环境明显改善，农村生活设施便利化水平巩固提升，城乡基本公共服务均等化机制基本建立，宜居宜业和美乡村建设取得积极进展。</w:t>
      </w:r>
      <w:r>
        <w:rPr>
          <w:rFonts w:hint="eastAsia"/>
          <w:lang w:val="en-US" w:eastAsia="zh-CN"/>
        </w:rPr>
        <w:t>乡村</w:t>
      </w:r>
      <w:r>
        <w:rPr>
          <w:rStyle w:val="16"/>
          <w:rFonts w:hint="default" w:ascii="Times New Roman" w:hAnsi="Times New Roman" w:cs="Times New Roman"/>
          <w:b w:val="0"/>
          <w:bCs w:val="0"/>
          <w:i w:val="0"/>
          <w:iCs w:val="0"/>
          <w:caps w:val="0"/>
          <w:color w:val="auto"/>
          <w:spacing w:val="0"/>
          <w:sz w:val="32"/>
          <w:szCs w:val="32"/>
          <w:highlight w:val="none"/>
          <w:shd w:val="clear" w:color="auto" w:fill="auto"/>
          <w:lang w:val="en-US" w:eastAsia="zh-CN"/>
        </w:rPr>
        <w:t>新业态新模式新场景</w:t>
      </w:r>
      <w:r>
        <w:rPr>
          <w:rStyle w:val="16"/>
          <w:rFonts w:hint="eastAsia" w:cs="Times New Roman"/>
          <w:b w:val="0"/>
          <w:bCs w:val="0"/>
          <w:i w:val="0"/>
          <w:iCs w:val="0"/>
          <w:caps w:val="0"/>
          <w:color w:val="auto"/>
          <w:spacing w:val="0"/>
          <w:sz w:val="32"/>
          <w:szCs w:val="32"/>
          <w:highlight w:val="none"/>
          <w:shd w:val="clear" w:color="auto" w:fill="auto"/>
          <w:lang w:val="en-US" w:eastAsia="zh-CN"/>
        </w:rPr>
        <w:t>不断出现，</w:t>
      </w:r>
      <w:r>
        <w:rPr>
          <w:rFonts w:hint="default"/>
        </w:rPr>
        <w:t>乡村活力显著增强，农民可支配收入</w:t>
      </w:r>
      <w:r>
        <w:rPr>
          <w:rFonts w:hint="eastAsia"/>
          <w:lang w:val="en-US" w:eastAsia="zh-CN"/>
        </w:rPr>
        <w:t>稳步</w:t>
      </w:r>
      <w:r>
        <w:rPr>
          <w:rFonts w:hint="default"/>
        </w:rPr>
        <w:t>提升，城乡居民收入差距持续缩小，农民获得感幸福感安全感明显提高。</w:t>
      </w:r>
    </w:p>
    <w:p w14:paraId="7BC7B67C">
      <w:pPr>
        <w:rPr>
          <w:rFonts w:hint="eastAsia"/>
          <w:b/>
          <w:bCs/>
          <w:color w:val="auto"/>
          <w:sz w:val="24"/>
          <w:szCs w:val="21"/>
          <w:highlight w:val="none"/>
          <w:lang w:val="en-US" w:eastAsia="zh-CN"/>
        </w:rPr>
      </w:pPr>
      <w:r>
        <w:rPr>
          <w:rFonts w:hint="eastAsia"/>
          <w:b/>
          <w:bCs/>
          <w:color w:val="auto"/>
          <w:sz w:val="24"/>
          <w:szCs w:val="21"/>
          <w:highlight w:val="none"/>
          <w:lang w:val="en-US" w:eastAsia="zh-CN"/>
        </w:rPr>
        <w:br w:type="page"/>
      </w:r>
    </w:p>
    <w:p w14:paraId="35A1AAE0">
      <w:pPr>
        <w:bidi w:val="0"/>
        <w:jc w:val="center"/>
        <w:rPr>
          <w:rFonts w:hint="eastAsia"/>
          <w:b/>
          <w:bCs/>
          <w:color w:val="auto"/>
          <w:sz w:val="24"/>
          <w:szCs w:val="21"/>
          <w:highlight w:val="none"/>
          <w:lang w:val="en-US" w:eastAsia="zh-CN"/>
        </w:rPr>
      </w:pPr>
      <w:r>
        <w:rPr>
          <w:rFonts w:hint="eastAsia"/>
          <w:b/>
          <w:bCs/>
          <w:color w:val="auto"/>
          <w:sz w:val="24"/>
          <w:szCs w:val="21"/>
          <w:highlight w:val="none"/>
          <w:lang w:val="en-US" w:eastAsia="zh-CN"/>
        </w:rPr>
        <w:t>表2-1 泰州市海陵区“十五五”农业农村现代化发展目标</w:t>
      </w:r>
    </w:p>
    <w:tbl>
      <w:tblPr>
        <w:tblStyle w:val="14"/>
        <w:tblW w:w="48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90"/>
        <w:gridCol w:w="3398"/>
        <w:gridCol w:w="854"/>
        <w:gridCol w:w="952"/>
        <w:gridCol w:w="1015"/>
        <w:gridCol w:w="1127"/>
      </w:tblGrid>
      <w:tr w14:paraId="681C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2" w:hRule="atLeast"/>
          <w:tblHeader/>
          <w:jc w:val="center"/>
        </w:trPr>
        <w:tc>
          <w:tcPr>
            <w:tcW w:w="429" w:type="pct"/>
            <w:vAlign w:val="center"/>
          </w:tcPr>
          <w:p w14:paraId="3DFA1348">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序号</w:t>
            </w:r>
          </w:p>
        </w:tc>
        <w:tc>
          <w:tcPr>
            <w:tcW w:w="2113" w:type="pct"/>
            <w:shd w:val="clear" w:color="auto" w:fill="auto"/>
            <w:vAlign w:val="center"/>
          </w:tcPr>
          <w:p w14:paraId="010418C1">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主要指标</w:t>
            </w:r>
          </w:p>
        </w:tc>
        <w:tc>
          <w:tcPr>
            <w:tcW w:w="531" w:type="pct"/>
            <w:vAlign w:val="center"/>
          </w:tcPr>
          <w:p w14:paraId="6E7F8F3F">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单位</w:t>
            </w:r>
          </w:p>
        </w:tc>
        <w:tc>
          <w:tcPr>
            <w:tcW w:w="592" w:type="pct"/>
            <w:vAlign w:val="center"/>
          </w:tcPr>
          <w:p w14:paraId="6FF139D6">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20</w:t>
            </w:r>
            <w:r>
              <w:rPr>
                <w:rFonts w:hint="eastAsia" w:ascii="黑体" w:hAnsi="黑体" w:eastAsia="黑体" w:cs="黑体"/>
                <w:b/>
                <w:bCs/>
                <w:color w:val="auto"/>
                <w:sz w:val="24"/>
                <w:szCs w:val="24"/>
                <w:highlight w:val="none"/>
                <w:lang w:val="en-US" w:eastAsia="zh-CN"/>
              </w:rPr>
              <w:t>25</w:t>
            </w:r>
            <w:r>
              <w:rPr>
                <w:rFonts w:hint="eastAsia" w:ascii="黑体" w:hAnsi="黑体" w:eastAsia="黑体" w:cs="黑体"/>
                <w:b/>
                <w:bCs/>
                <w:color w:val="auto"/>
                <w:sz w:val="24"/>
                <w:szCs w:val="24"/>
                <w:highlight w:val="none"/>
              </w:rPr>
              <w:t>年基期值</w:t>
            </w:r>
          </w:p>
        </w:tc>
        <w:tc>
          <w:tcPr>
            <w:tcW w:w="631" w:type="pct"/>
            <w:vAlign w:val="center"/>
          </w:tcPr>
          <w:p w14:paraId="130EB9E8">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20</w:t>
            </w:r>
            <w:r>
              <w:rPr>
                <w:rFonts w:hint="eastAsia" w:ascii="黑体" w:hAnsi="黑体" w:eastAsia="黑体" w:cs="黑体"/>
                <w:b/>
                <w:bCs/>
                <w:color w:val="auto"/>
                <w:sz w:val="24"/>
                <w:szCs w:val="24"/>
                <w:highlight w:val="none"/>
                <w:lang w:val="en-US" w:eastAsia="zh-CN"/>
              </w:rPr>
              <w:t>30</w:t>
            </w:r>
            <w:r>
              <w:rPr>
                <w:rFonts w:hint="eastAsia" w:ascii="黑体" w:hAnsi="黑体" w:eastAsia="黑体" w:cs="黑体"/>
                <w:b/>
                <w:bCs/>
                <w:color w:val="auto"/>
                <w:sz w:val="24"/>
                <w:szCs w:val="24"/>
                <w:highlight w:val="none"/>
              </w:rPr>
              <w:t>年</w:t>
            </w:r>
          </w:p>
          <w:p w14:paraId="100A2E84">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目标值</w:t>
            </w:r>
          </w:p>
        </w:tc>
        <w:tc>
          <w:tcPr>
            <w:tcW w:w="701" w:type="pct"/>
            <w:vAlign w:val="center"/>
          </w:tcPr>
          <w:p w14:paraId="747D98A4">
            <w:pPr>
              <w:pageBreakBefore w:val="0"/>
              <w:widowControl w:val="0"/>
              <w:shd w:val="clear"/>
              <w:kinsoku/>
              <w:wordWrap/>
              <w:overflowPunct/>
              <w:topLinePunct w:val="0"/>
              <w:bidi w:val="0"/>
              <w:adjustRightInd/>
              <w:spacing w:line="240" w:lineRule="auto"/>
              <w:ind w:firstLine="0" w:firstLineChars="0"/>
              <w:jc w:val="center"/>
              <w:rPr>
                <w:rFonts w:hint="eastAsia" w:ascii="黑体" w:hAnsi="黑体" w:eastAsia="黑体" w:cs="黑体"/>
                <w:b/>
                <w:bCs/>
                <w:color w:val="auto"/>
                <w:sz w:val="24"/>
                <w:szCs w:val="24"/>
                <w:highlight w:val="none"/>
              </w:rPr>
            </w:pPr>
            <w:r>
              <w:rPr>
                <w:rFonts w:hint="eastAsia" w:ascii="黑体" w:hAnsi="黑体" w:eastAsia="黑体" w:cs="黑体"/>
                <w:b/>
                <w:bCs/>
                <w:color w:val="auto"/>
                <w:sz w:val="24"/>
                <w:szCs w:val="24"/>
                <w:highlight w:val="none"/>
              </w:rPr>
              <w:t>指标属性</w:t>
            </w:r>
          </w:p>
        </w:tc>
      </w:tr>
      <w:tr w14:paraId="187B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vAlign w:val="center"/>
          </w:tcPr>
          <w:p w14:paraId="512BDD7A">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w:t>
            </w:r>
          </w:p>
        </w:tc>
        <w:tc>
          <w:tcPr>
            <w:tcW w:w="2113" w:type="pct"/>
            <w:shd w:val="clear" w:color="auto" w:fill="auto"/>
            <w:vAlign w:val="center"/>
          </w:tcPr>
          <w:p w14:paraId="30BFF725">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农业增加值</w:t>
            </w:r>
          </w:p>
        </w:tc>
        <w:tc>
          <w:tcPr>
            <w:tcW w:w="531" w:type="pct"/>
            <w:vAlign w:val="center"/>
          </w:tcPr>
          <w:p w14:paraId="62E557B8">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亿元</w:t>
            </w:r>
          </w:p>
        </w:tc>
        <w:tc>
          <w:tcPr>
            <w:tcW w:w="592" w:type="pct"/>
            <w:vAlign w:val="center"/>
          </w:tcPr>
          <w:p w14:paraId="6EB9CD07">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17.2</w:t>
            </w:r>
          </w:p>
        </w:tc>
        <w:tc>
          <w:tcPr>
            <w:tcW w:w="631" w:type="pct"/>
            <w:vAlign w:val="center"/>
          </w:tcPr>
          <w:p w14:paraId="6EDB8555">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19.9</w:t>
            </w:r>
          </w:p>
        </w:tc>
        <w:tc>
          <w:tcPr>
            <w:tcW w:w="701" w:type="pct"/>
            <w:vAlign w:val="center"/>
          </w:tcPr>
          <w:p w14:paraId="44C756F8">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预期性</w:t>
            </w:r>
          </w:p>
        </w:tc>
      </w:tr>
      <w:tr w14:paraId="0A01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vAlign w:val="center"/>
          </w:tcPr>
          <w:p w14:paraId="4712B5C6">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2</w:t>
            </w:r>
          </w:p>
        </w:tc>
        <w:tc>
          <w:tcPr>
            <w:tcW w:w="2113" w:type="pct"/>
            <w:vAlign w:val="center"/>
          </w:tcPr>
          <w:p w14:paraId="0BAB9F4D">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粮食综合生产能力</w:t>
            </w:r>
          </w:p>
        </w:tc>
        <w:tc>
          <w:tcPr>
            <w:tcW w:w="531" w:type="pct"/>
            <w:vAlign w:val="center"/>
          </w:tcPr>
          <w:p w14:paraId="7E3BF1D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万吨</w:t>
            </w:r>
          </w:p>
        </w:tc>
        <w:tc>
          <w:tcPr>
            <w:tcW w:w="592" w:type="pct"/>
            <w:vAlign w:val="center"/>
          </w:tcPr>
          <w:p w14:paraId="6817968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9.1</w:t>
            </w:r>
          </w:p>
        </w:tc>
        <w:tc>
          <w:tcPr>
            <w:tcW w:w="631" w:type="pct"/>
            <w:vAlign w:val="center"/>
          </w:tcPr>
          <w:p w14:paraId="002D2D26">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9.5</w:t>
            </w:r>
          </w:p>
        </w:tc>
        <w:tc>
          <w:tcPr>
            <w:tcW w:w="701" w:type="pct"/>
            <w:vAlign w:val="center"/>
          </w:tcPr>
          <w:p w14:paraId="57881261">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约束性</w:t>
            </w:r>
          </w:p>
        </w:tc>
      </w:tr>
      <w:tr w14:paraId="0DA3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vAlign w:val="center"/>
          </w:tcPr>
          <w:p w14:paraId="02D358B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3</w:t>
            </w:r>
          </w:p>
        </w:tc>
        <w:tc>
          <w:tcPr>
            <w:tcW w:w="2113" w:type="pct"/>
            <w:vAlign w:val="center"/>
          </w:tcPr>
          <w:p w14:paraId="2F63ABE2">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农产品质量安全监测合格率</w:t>
            </w:r>
          </w:p>
        </w:tc>
        <w:tc>
          <w:tcPr>
            <w:tcW w:w="531" w:type="pct"/>
            <w:vAlign w:val="center"/>
          </w:tcPr>
          <w:p w14:paraId="3060AB69">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w:t>
            </w:r>
          </w:p>
        </w:tc>
        <w:tc>
          <w:tcPr>
            <w:tcW w:w="592" w:type="pct"/>
            <w:vAlign w:val="center"/>
          </w:tcPr>
          <w:p w14:paraId="00671AFD">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98</w:t>
            </w:r>
          </w:p>
        </w:tc>
        <w:tc>
          <w:tcPr>
            <w:tcW w:w="631" w:type="pct"/>
            <w:vAlign w:val="center"/>
          </w:tcPr>
          <w:p w14:paraId="67CFE599">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≥98</w:t>
            </w:r>
          </w:p>
        </w:tc>
        <w:tc>
          <w:tcPr>
            <w:tcW w:w="701" w:type="pct"/>
            <w:vAlign w:val="center"/>
          </w:tcPr>
          <w:p w14:paraId="3A81095C">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lang w:val="en-US" w:eastAsia="zh-CN"/>
              </w:rPr>
              <w:t>约束</w:t>
            </w:r>
            <w:r>
              <w:rPr>
                <w:rFonts w:hint="eastAsia" w:ascii="楷体" w:hAnsi="楷体" w:eastAsia="楷体" w:cs="楷体"/>
                <w:bCs/>
                <w:color w:val="auto"/>
                <w:sz w:val="24"/>
                <w:szCs w:val="24"/>
                <w:highlight w:val="none"/>
              </w:rPr>
              <w:t>性</w:t>
            </w:r>
          </w:p>
        </w:tc>
      </w:tr>
      <w:tr w14:paraId="506F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vAlign w:val="center"/>
          </w:tcPr>
          <w:p w14:paraId="4B5115A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4</w:t>
            </w:r>
          </w:p>
        </w:tc>
        <w:tc>
          <w:tcPr>
            <w:tcW w:w="2113" w:type="pct"/>
            <w:vAlign w:val="center"/>
          </w:tcPr>
          <w:p w14:paraId="7A65F05F">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规模以上农产品加工业收入</w:t>
            </w:r>
          </w:p>
        </w:tc>
        <w:tc>
          <w:tcPr>
            <w:tcW w:w="531" w:type="pct"/>
            <w:vAlign w:val="center"/>
          </w:tcPr>
          <w:p w14:paraId="66874AFF">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w:t>
            </w:r>
          </w:p>
        </w:tc>
        <w:tc>
          <w:tcPr>
            <w:tcW w:w="592" w:type="pct"/>
            <w:vAlign w:val="center"/>
          </w:tcPr>
          <w:p w14:paraId="7CE4352B">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32</w:t>
            </w:r>
          </w:p>
        </w:tc>
        <w:tc>
          <w:tcPr>
            <w:tcW w:w="631" w:type="pct"/>
            <w:vAlign w:val="center"/>
          </w:tcPr>
          <w:p w14:paraId="1B4EA1DD">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40.8</w:t>
            </w:r>
          </w:p>
        </w:tc>
        <w:tc>
          <w:tcPr>
            <w:tcW w:w="701" w:type="pct"/>
            <w:vAlign w:val="center"/>
          </w:tcPr>
          <w:p w14:paraId="6540CB63">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预期性</w:t>
            </w:r>
          </w:p>
        </w:tc>
      </w:tr>
      <w:tr w14:paraId="6DC7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vAlign w:val="center"/>
          </w:tcPr>
          <w:p w14:paraId="1D29585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5</w:t>
            </w:r>
          </w:p>
        </w:tc>
        <w:tc>
          <w:tcPr>
            <w:tcW w:w="2113" w:type="pct"/>
            <w:vAlign w:val="center"/>
          </w:tcPr>
          <w:p w14:paraId="4544FA3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农业生产信息化率</w:t>
            </w:r>
          </w:p>
        </w:tc>
        <w:tc>
          <w:tcPr>
            <w:tcW w:w="531" w:type="pct"/>
            <w:vAlign w:val="center"/>
          </w:tcPr>
          <w:p w14:paraId="00F5ADB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w:t>
            </w:r>
          </w:p>
        </w:tc>
        <w:tc>
          <w:tcPr>
            <w:tcW w:w="592" w:type="pct"/>
            <w:vAlign w:val="center"/>
          </w:tcPr>
          <w:p w14:paraId="2F062EA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37</w:t>
            </w:r>
          </w:p>
        </w:tc>
        <w:tc>
          <w:tcPr>
            <w:tcW w:w="631" w:type="pct"/>
            <w:vAlign w:val="center"/>
          </w:tcPr>
          <w:p w14:paraId="7CF74954">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50</w:t>
            </w:r>
          </w:p>
        </w:tc>
        <w:tc>
          <w:tcPr>
            <w:tcW w:w="701" w:type="pct"/>
            <w:vAlign w:val="center"/>
          </w:tcPr>
          <w:p w14:paraId="77E3952E">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预期性</w:t>
            </w:r>
          </w:p>
        </w:tc>
      </w:tr>
      <w:tr w14:paraId="13EE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shd w:val="clear" w:color="auto" w:fill="auto"/>
            <w:vAlign w:val="center"/>
          </w:tcPr>
          <w:p w14:paraId="7D80CDA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6</w:t>
            </w:r>
          </w:p>
        </w:tc>
        <w:tc>
          <w:tcPr>
            <w:tcW w:w="2113" w:type="pct"/>
            <w:shd w:val="clear" w:color="auto" w:fill="auto"/>
            <w:vAlign w:val="center"/>
          </w:tcPr>
          <w:p w14:paraId="791CD945">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农作物耕种收综合机械化率</w:t>
            </w:r>
          </w:p>
        </w:tc>
        <w:tc>
          <w:tcPr>
            <w:tcW w:w="531" w:type="pct"/>
            <w:shd w:val="clear" w:color="auto" w:fill="auto"/>
            <w:vAlign w:val="center"/>
          </w:tcPr>
          <w:p w14:paraId="3F138109">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kern w:val="2"/>
                <w:sz w:val="24"/>
                <w:szCs w:val="24"/>
                <w:highlight w:val="none"/>
                <w:lang w:val="en-US" w:eastAsia="zh-CN" w:bidi="ar-SA"/>
              </w:rPr>
            </w:pPr>
            <w:r>
              <w:rPr>
                <w:rFonts w:hint="eastAsia" w:ascii="楷体" w:hAnsi="楷体" w:eastAsia="楷体" w:cs="楷体"/>
                <w:bCs/>
                <w:color w:val="auto"/>
                <w:sz w:val="24"/>
                <w:szCs w:val="24"/>
                <w:highlight w:val="none"/>
              </w:rPr>
              <w:t>%</w:t>
            </w:r>
          </w:p>
        </w:tc>
        <w:tc>
          <w:tcPr>
            <w:tcW w:w="592" w:type="pct"/>
            <w:shd w:val="clear" w:color="auto" w:fill="auto"/>
            <w:vAlign w:val="center"/>
          </w:tcPr>
          <w:p w14:paraId="596108C5">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95</w:t>
            </w:r>
          </w:p>
        </w:tc>
        <w:tc>
          <w:tcPr>
            <w:tcW w:w="631" w:type="pct"/>
            <w:shd w:val="clear" w:color="auto" w:fill="auto"/>
            <w:vAlign w:val="center"/>
          </w:tcPr>
          <w:p w14:paraId="0B5423B3">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98</w:t>
            </w:r>
          </w:p>
        </w:tc>
        <w:tc>
          <w:tcPr>
            <w:tcW w:w="701" w:type="pct"/>
            <w:vAlign w:val="center"/>
          </w:tcPr>
          <w:p w14:paraId="50839C4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预期性</w:t>
            </w:r>
          </w:p>
        </w:tc>
      </w:tr>
      <w:tr w14:paraId="09E6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shd w:val="clear" w:color="auto" w:fill="auto"/>
            <w:vAlign w:val="center"/>
          </w:tcPr>
          <w:p w14:paraId="62BCFAAB">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7</w:t>
            </w:r>
          </w:p>
        </w:tc>
        <w:tc>
          <w:tcPr>
            <w:tcW w:w="2113" w:type="pct"/>
            <w:shd w:val="clear" w:color="auto" w:fill="auto"/>
            <w:vAlign w:val="center"/>
          </w:tcPr>
          <w:p w14:paraId="0B3E10B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高标准农田建成率</w:t>
            </w:r>
          </w:p>
        </w:tc>
        <w:tc>
          <w:tcPr>
            <w:tcW w:w="531" w:type="pct"/>
            <w:shd w:val="clear" w:color="auto" w:fill="auto"/>
            <w:vAlign w:val="center"/>
          </w:tcPr>
          <w:p w14:paraId="6518334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kern w:val="2"/>
                <w:sz w:val="24"/>
                <w:szCs w:val="24"/>
                <w:highlight w:val="none"/>
                <w:lang w:val="en-US" w:eastAsia="zh-CN" w:bidi="ar-SA"/>
              </w:rPr>
            </w:pPr>
            <w:r>
              <w:rPr>
                <w:rFonts w:hint="eastAsia" w:ascii="楷体" w:hAnsi="楷体" w:eastAsia="楷体" w:cs="楷体"/>
                <w:bCs/>
                <w:color w:val="auto"/>
                <w:sz w:val="24"/>
                <w:szCs w:val="24"/>
                <w:highlight w:val="none"/>
              </w:rPr>
              <w:t>%</w:t>
            </w:r>
          </w:p>
        </w:tc>
        <w:tc>
          <w:tcPr>
            <w:tcW w:w="592" w:type="pct"/>
            <w:shd w:val="clear" w:color="auto" w:fill="auto"/>
            <w:vAlign w:val="center"/>
          </w:tcPr>
          <w:p w14:paraId="0D4810C6">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90</w:t>
            </w:r>
          </w:p>
        </w:tc>
        <w:tc>
          <w:tcPr>
            <w:tcW w:w="631" w:type="pct"/>
            <w:shd w:val="clear" w:color="auto" w:fill="auto"/>
            <w:vAlign w:val="center"/>
          </w:tcPr>
          <w:p w14:paraId="0110B748">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91</w:t>
            </w:r>
          </w:p>
        </w:tc>
        <w:tc>
          <w:tcPr>
            <w:tcW w:w="701" w:type="pct"/>
            <w:vAlign w:val="center"/>
          </w:tcPr>
          <w:p w14:paraId="6976B603">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rPr>
            </w:pPr>
            <w:r>
              <w:rPr>
                <w:rFonts w:hint="eastAsia" w:ascii="楷体" w:hAnsi="楷体" w:eastAsia="楷体" w:cs="楷体"/>
                <w:bCs/>
                <w:color w:val="auto"/>
                <w:sz w:val="24"/>
                <w:szCs w:val="24"/>
                <w:highlight w:val="none"/>
              </w:rPr>
              <w:t>预期性</w:t>
            </w:r>
          </w:p>
        </w:tc>
      </w:tr>
      <w:tr w14:paraId="6121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429" w:type="pct"/>
            <w:shd w:val="clear" w:color="auto" w:fill="auto"/>
            <w:vAlign w:val="center"/>
          </w:tcPr>
          <w:p w14:paraId="7D9CC49E">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8</w:t>
            </w:r>
          </w:p>
        </w:tc>
        <w:tc>
          <w:tcPr>
            <w:tcW w:w="2113" w:type="pct"/>
            <w:vAlign w:val="center"/>
          </w:tcPr>
          <w:p w14:paraId="59B0DFCB">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休闲农业综合经营收入</w:t>
            </w:r>
          </w:p>
        </w:tc>
        <w:tc>
          <w:tcPr>
            <w:tcW w:w="531" w:type="pct"/>
            <w:vAlign w:val="center"/>
          </w:tcPr>
          <w:p w14:paraId="1EA0C441">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亿元</w:t>
            </w:r>
          </w:p>
        </w:tc>
        <w:tc>
          <w:tcPr>
            <w:tcW w:w="592" w:type="pct"/>
            <w:vAlign w:val="center"/>
          </w:tcPr>
          <w:p w14:paraId="195D9986">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4.96</w:t>
            </w:r>
          </w:p>
        </w:tc>
        <w:tc>
          <w:tcPr>
            <w:tcW w:w="631" w:type="pct"/>
            <w:vAlign w:val="center"/>
          </w:tcPr>
          <w:p w14:paraId="6702C817">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6.3</w:t>
            </w:r>
          </w:p>
        </w:tc>
        <w:tc>
          <w:tcPr>
            <w:tcW w:w="701" w:type="pct"/>
            <w:vAlign w:val="center"/>
          </w:tcPr>
          <w:p w14:paraId="5EE46FD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预期性</w:t>
            </w:r>
          </w:p>
        </w:tc>
      </w:tr>
      <w:tr w14:paraId="4085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690" w:type="dxa"/>
            <w:shd w:val="clear" w:color="auto" w:fill="auto"/>
            <w:vAlign w:val="center"/>
          </w:tcPr>
          <w:p w14:paraId="7948811F">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w:t>
            </w:r>
          </w:p>
        </w:tc>
        <w:tc>
          <w:tcPr>
            <w:tcW w:w="2113" w:type="pct"/>
            <w:vAlign w:val="center"/>
          </w:tcPr>
          <w:p w14:paraId="0E34E4BC">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农村生态河道覆盖率</w:t>
            </w:r>
          </w:p>
        </w:tc>
        <w:tc>
          <w:tcPr>
            <w:tcW w:w="531" w:type="pct"/>
            <w:vAlign w:val="center"/>
          </w:tcPr>
          <w:p w14:paraId="5F67D619">
            <w:pPr>
              <w:spacing w:line="240" w:lineRule="exact"/>
              <w:ind w:firstLine="0" w:firstLineChars="0"/>
              <w:jc w:val="center"/>
              <w:rPr>
                <w:rFonts w:hint="eastAsia" w:ascii="楷体" w:hAnsi="楷体" w:eastAsia="楷体" w:cs="楷体"/>
                <w:color w:val="auto"/>
                <w:sz w:val="24"/>
                <w:szCs w:val="24"/>
                <w:highlight w:val="none"/>
                <w:lang w:val="en-US" w:eastAsia="zh-CN"/>
              </w:rPr>
            </w:pPr>
            <w:r>
              <w:rPr>
                <w:rFonts w:hint="eastAsia" w:ascii="方正黑体_GBK" w:eastAsia="方正黑体_GBK"/>
                <w:bCs/>
                <w:sz w:val="21"/>
                <w:szCs w:val="21"/>
              </w:rPr>
              <w:t>%</w:t>
            </w:r>
          </w:p>
        </w:tc>
        <w:tc>
          <w:tcPr>
            <w:tcW w:w="592" w:type="pct"/>
            <w:vAlign w:val="center"/>
          </w:tcPr>
          <w:p w14:paraId="7191DBD7">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60</w:t>
            </w:r>
          </w:p>
        </w:tc>
        <w:tc>
          <w:tcPr>
            <w:tcW w:w="631" w:type="pct"/>
            <w:vAlign w:val="center"/>
          </w:tcPr>
          <w:p w14:paraId="5B967604">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70</w:t>
            </w:r>
          </w:p>
        </w:tc>
        <w:tc>
          <w:tcPr>
            <w:tcW w:w="701" w:type="pct"/>
            <w:vAlign w:val="center"/>
          </w:tcPr>
          <w:p w14:paraId="3C9B12A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预期性</w:t>
            </w:r>
          </w:p>
        </w:tc>
      </w:tr>
      <w:tr w14:paraId="3668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2" w:hRule="atLeast"/>
          <w:jc w:val="center"/>
        </w:trPr>
        <w:tc>
          <w:tcPr>
            <w:tcW w:w="690" w:type="dxa"/>
            <w:shd w:val="clear" w:color="auto" w:fill="auto"/>
            <w:vAlign w:val="center"/>
          </w:tcPr>
          <w:p w14:paraId="72A79583">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w:t>
            </w:r>
          </w:p>
        </w:tc>
        <w:tc>
          <w:tcPr>
            <w:tcW w:w="2113" w:type="pct"/>
            <w:vAlign w:val="center"/>
          </w:tcPr>
          <w:p w14:paraId="17052F4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规划发展村庄双车道</w:t>
            </w:r>
          </w:p>
          <w:p w14:paraId="0E90C028">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四级公路通达率</w:t>
            </w:r>
          </w:p>
        </w:tc>
        <w:tc>
          <w:tcPr>
            <w:tcW w:w="531" w:type="pct"/>
            <w:vAlign w:val="center"/>
          </w:tcPr>
          <w:p w14:paraId="458A8EE7">
            <w:pPr>
              <w:spacing w:line="240" w:lineRule="exact"/>
              <w:ind w:firstLine="0" w:firstLineChars="0"/>
              <w:jc w:val="center"/>
              <w:rPr>
                <w:rFonts w:hint="eastAsia" w:ascii="楷体" w:hAnsi="楷体" w:eastAsia="楷体" w:cs="楷体"/>
                <w:color w:val="auto"/>
                <w:sz w:val="24"/>
                <w:szCs w:val="24"/>
                <w:highlight w:val="none"/>
              </w:rPr>
            </w:pPr>
            <w:r>
              <w:rPr>
                <w:rFonts w:hint="eastAsia" w:ascii="方正黑体_GBK" w:eastAsia="方正黑体_GBK"/>
                <w:bCs/>
                <w:sz w:val="21"/>
                <w:szCs w:val="21"/>
              </w:rPr>
              <w:t>%</w:t>
            </w:r>
          </w:p>
        </w:tc>
        <w:tc>
          <w:tcPr>
            <w:tcW w:w="592" w:type="pct"/>
            <w:vAlign w:val="center"/>
          </w:tcPr>
          <w:p w14:paraId="543BFAA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100</w:t>
            </w:r>
          </w:p>
        </w:tc>
        <w:tc>
          <w:tcPr>
            <w:tcW w:w="631" w:type="pct"/>
            <w:shd w:val="clear" w:color="auto" w:fill="auto"/>
            <w:vAlign w:val="center"/>
          </w:tcPr>
          <w:p w14:paraId="6F6FBECC">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100</w:t>
            </w:r>
          </w:p>
        </w:tc>
        <w:tc>
          <w:tcPr>
            <w:tcW w:w="701" w:type="pct"/>
            <w:vAlign w:val="center"/>
          </w:tcPr>
          <w:p w14:paraId="30F925D1">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约束性</w:t>
            </w:r>
          </w:p>
        </w:tc>
      </w:tr>
      <w:tr w14:paraId="3B79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690" w:type="dxa"/>
            <w:shd w:val="clear" w:color="auto" w:fill="auto"/>
            <w:vAlign w:val="center"/>
          </w:tcPr>
          <w:p w14:paraId="1B734E1E">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11</w:t>
            </w:r>
          </w:p>
        </w:tc>
        <w:tc>
          <w:tcPr>
            <w:tcW w:w="2113" w:type="pct"/>
            <w:vAlign w:val="center"/>
          </w:tcPr>
          <w:p w14:paraId="5028B505">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农村生活污水治理（管控）率</w:t>
            </w:r>
          </w:p>
        </w:tc>
        <w:tc>
          <w:tcPr>
            <w:tcW w:w="531" w:type="pct"/>
            <w:vAlign w:val="center"/>
          </w:tcPr>
          <w:p w14:paraId="6E2F4E2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w:t>
            </w:r>
          </w:p>
        </w:tc>
        <w:tc>
          <w:tcPr>
            <w:tcW w:w="592" w:type="pct"/>
            <w:vAlign w:val="center"/>
          </w:tcPr>
          <w:p w14:paraId="157D3596">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87.95</w:t>
            </w:r>
          </w:p>
        </w:tc>
        <w:tc>
          <w:tcPr>
            <w:tcW w:w="631" w:type="pct"/>
            <w:shd w:val="clear" w:color="auto" w:fill="auto"/>
            <w:vAlign w:val="center"/>
          </w:tcPr>
          <w:p w14:paraId="3D8BFBA8">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≥88</w:t>
            </w:r>
          </w:p>
        </w:tc>
        <w:tc>
          <w:tcPr>
            <w:tcW w:w="701" w:type="pct"/>
            <w:vAlign w:val="center"/>
          </w:tcPr>
          <w:p w14:paraId="1CC3AF8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预期性</w:t>
            </w:r>
          </w:p>
        </w:tc>
      </w:tr>
      <w:tr w14:paraId="37B8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690" w:type="dxa"/>
            <w:shd w:val="clear" w:color="auto" w:fill="auto"/>
            <w:vAlign w:val="center"/>
          </w:tcPr>
          <w:p w14:paraId="7D943274">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12</w:t>
            </w:r>
          </w:p>
        </w:tc>
        <w:tc>
          <w:tcPr>
            <w:tcW w:w="2113" w:type="pct"/>
            <w:vAlign w:val="center"/>
          </w:tcPr>
          <w:p w14:paraId="23848FBD">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基层医疗机构服务能力达标率</w:t>
            </w:r>
          </w:p>
        </w:tc>
        <w:tc>
          <w:tcPr>
            <w:tcW w:w="531" w:type="pct"/>
            <w:vAlign w:val="center"/>
          </w:tcPr>
          <w:p w14:paraId="66DCF1A3">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w:t>
            </w:r>
          </w:p>
        </w:tc>
        <w:tc>
          <w:tcPr>
            <w:tcW w:w="592" w:type="pct"/>
            <w:vAlign w:val="center"/>
          </w:tcPr>
          <w:p w14:paraId="7D828584">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100</w:t>
            </w:r>
          </w:p>
        </w:tc>
        <w:tc>
          <w:tcPr>
            <w:tcW w:w="631" w:type="pct"/>
            <w:shd w:val="clear" w:color="auto" w:fill="auto"/>
            <w:vAlign w:val="center"/>
          </w:tcPr>
          <w:p w14:paraId="297A59C3">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100</w:t>
            </w:r>
          </w:p>
        </w:tc>
        <w:tc>
          <w:tcPr>
            <w:tcW w:w="701" w:type="pct"/>
            <w:vAlign w:val="center"/>
          </w:tcPr>
          <w:p w14:paraId="12316AAB">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预期性</w:t>
            </w:r>
          </w:p>
        </w:tc>
      </w:tr>
      <w:tr w14:paraId="4D4D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2" w:hRule="atLeast"/>
          <w:jc w:val="center"/>
        </w:trPr>
        <w:tc>
          <w:tcPr>
            <w:tcW w:w="690" w:type="dxa"/>
            <w:shd w:val="clear" w:color="auto" w:fill="auto"/>
            <w:vAlign w:val="center"/>
          </w:tcPr>
          <w:p w14:paraId="0AC3273D">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13</w:t>
            </w:r>
          </w:p>
        </w:tc>
        <w:tc>
          <w:tcPr>
            <w:tcW w:w="2113" w:type="pct"/>
            <w:vAlign w:val="center"/>
          </w:tcPr>
          <w:p w14:paraId="23200A5E">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农村基本公共服务</w:t>
            </w:r>
          </w:p>
          <w:p w14:paraId="22B6E635">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均等化实现程度</w:t>
            </w:r>
          </w:p>
        </w:tc>
        <w:tc>
          <w:tcPr>
            <w:tcW w:w="531" w:type="pct"/>
            <w:vAlign w:val="center"/>
          </w:tcPr>
          <w:p w14:paraId="128E92A9">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w:t>
            </w:r>
          </w:p>
        </w:tc>
        <w:tc>
          <w:tcPr>
            <w:tcW w:w="592" w:type="pct"/>
            <w:vAlign w:val="center"/>
          </w:tcPr>
          <w:p w14:paraId="5089283F">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94</w:t>
            </w:r>
          </w:p>
        </w:tc>
        <w:tc>
          <w:tcPr>
            <w:tcW w:w="631" w:type="pct"/>
            <w:shd w:val="clear" w:color="auto" w:fill="auto"/>
            <w:vAlign w:val="center"/>
          </w:tcPr>
          <w:p w14:paraId="449940FB">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95</w:t>
            </w:r>
          </w:p>
        </w:tc>
        <w:tc>
          <w:tcPr>
            <w:tcW w:w="701" w:type="pct"/>
            <w:vAlign w:val="center"/>
          </w:tcPr>
          <w:p w14:paraId="7EB3FC31">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预期性</w:t>
            </w:r>
          </w:p>
        </w:tc>
      </w:tr>
      <w:tr w14:paraId="62FE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2" w:hRule="atLeast"/>
          <w:jc w:val="center"/>
        </w:trPr>
        <w:tc>
          <w:tcPr>
            <w:tcW w:w="690" w:type="dxa"/>
            <w:shd w:val="clear" w:color="auto" w:fill="auto"/>
            <w:vAlign w:val="center"/>
          </w:tcPr>
          <w:p w14:paraId="507DE85C">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14</w:t>
            </w:r>
          </w:p>
        </w:tc>
        <w:tc>
          <w:tcPr>
            <w:tcW w:w="2113" w:type="pct"/>
            <w:tcBorders>
              <w:bottom w:val="single" w:color="auto" w:sz="4" w:space="0"/>
            </w:tcBorders>
            <w:vAlign w:val="center"/>
          </w:tcPr>
          <w:p w14:paraId="6FC40DA0">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集体经营性收入</w:t>
            </w:r>
          </w:p>
          <w:p w14:paraId="48DB0D1F">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w:t>
            </w:r>
            <w:r>
              <w:rPr>
                <w:rFonts w:hint="default" w:ascii="楷体" w:hAnsi="楷体" w:eastAsia="楷体" w:cs="楷体"/>
                <w:bCs/>
                <w:color w:val="auto"/>
                <w:sz w:val="24"/>
                <w:szCs w:val="24"/>
                <w:highlight w:val="none"/>
                <w:lang w:val="en-US" w:eastAsia="zh-CN"/>
              </w:rPr>
              <w:t>00万元以上村占比</w:t>
            </w:r>
          </w:p>
        </w:tc>
        <w:tc>
          <w:tcPr>
            <w:tcW w:w="531" w:type="pct"/>
            <w:tcBorders>
              <w:bottom w:val="single" w:color="auto" w:sz="4" w:space="0"/>
            </w:tcBorders>
            <w:vAlign w:val="center"/>
          </w:tcPr>
          <w:p w14:paraId="61FD8447">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default" w:ascii="楷体" w:hAnsi="楷体" w:eastAsia="楷体" w:cs="楷体"/>
                <w:color w:val="auto"/>
                <w:sz w:val="24"/>
                <w:szCs w:val="24"/>
                <w:highlight w:val="none"/>
                <w:lang w:val="en-US" w:eastAsia="zh-CN"/>
              </w:rPr>
              <w:t>%</w:t>
            </w:r>
          </w:p>
        </w:tc>
        <w:tc>
          <w:tcPr>
            <w:tcW w:w="592" w:type="pct"/>
            <w:tcBorders>
              <w:bottom w:val="single" w:color="auto" w:sz="4" w:space="0"/>
            </w:tcBorders>
            <w:vAlign w:val="center"/>
          </w:tcPr>
          <w:p w14:paraId="3954D0F8">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85</w:t>
            </w:r>
          </w:p>
        </w:tc>
        <w:tc>
          <w:tcPr>
            <w:tcW w:w="631" w:type="pct"/>
            <w:tcBorders>
              <w:bottom w:val="single" w:color="auto" w:sz="4" w:space="0"/>
            </w:tcBorders>
            <w:shd w:val="clear" w:color="auto" w:fill="auto"/>
            <w:vAlign w:val="center"/>
          </w:tcPr>
          <w:p w14:paraId="2937FD9E">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90</w:t>
            </w:r>
          </w:p>
        </w:tc>
        <w:tc>
          <w:tcPr>
            <w:tcW w:w="701" w:type="pct"/>
            <w:tcBorders>
              <w:bottom w:val="single" w:color="auto" w:sz="4" w:space="0"/>
            </w:tcBorders>
            <w:vAlign w:val="center"/>
          </w:tcPr>
          <w:p w14:paraId="19F5C8C7">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预期性</w:t>
            </w:r>
          </w:p>
        </w:tc>
      </w:tr>
      <w:tr w14:paraId="559C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690" w:type="dxa"/>
            <w:shd w:val="clear" w:color="auto" w:fill="auto"/>
            <w:vAlign w:val="center"/>
          </w:tcPr>
          <w:p w14:paraId="00A5C271">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15</w:t>
            </w:r>
          </w:p>
        </w:tc>
        <w:tc>
          <w:tcPr>
            <w:tcW w:w="2113" w:type="pct"/>
            <w:tcBorders>
              <w:bottom w:val="single" w:color="auto" w:sz="4" w:space="0"/>
            </w:tcBorders>
            <w:vAlign w:val="center"/>
          </w:tcPr>
          <w:p w14:paraId="5F3268B0">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农村居民人均可支配收入</w:t>
            </w:r>
          </w:p>
        </w:tc>
        <w:tc>
          <w:tcPr>
            <w:tcW w:w="531" w:type="pct"/>
            <w:tcBorders>
              <w:bottom w:val="single" w:color="auto" w:sz="4" w:space="0"/>
            </w:tcBorders>
            <w:vAlign w:val="center"/>
          </w:tcPr>
          <w:p w14:paraId="3B442F97">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default" w:ascii="楷体" w:hAnsi="楷体" w:eastAsia="楷体" w:cs="楷体"/>
                <w:color w:val="auto"/>
                <w:sz w:val="24"/>
                <w:szCs w:val="24"/>
                <w:highlight w:val="none"/>
                <w:lang w:val="en-US" w:eastAsia="zh-CN"/>
              </w:rPr>
              <w:t>万元</w:t>
            </w:r>
          </w:p>
        </w:tc>
        <w:tc>
          <w:tcPr>
            <w:tcW w:w="592" w:type="pct"/>
            <w:tcBorders>
              <w:bottom w:val="single" w:color="auto" w:sz="4" w:space="0"/>
            </w:tcBorders>
            <w:vAlign w:val="center"/>
          </w:tcPr>
          <w:p w14:paraId="75D61D32">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5.2</w:t>
            </w:r>
          </w:p>
        </w:tc>
        <w:tc>
          <w:tcPr>
            <w:tcW w:w="631" w:type="pct"/>
            <w:tcBorders>
              <w:bottom w:val="single" w:color="auto" w:sz="4" w:space="0"/>
            </w:tcBorders>
            <w:shd w:val="clear" w:color="auto" w:fill="auto"/>
            <w:vAlign w:val="center"/>
          </w:tcPr>
          <w:p w14:paraId="30E90BBB">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6.6</w:t>
            </w:r>
          </w:p>
        </w:tc>
        <w:tc>
          <w:tcPr>
            <w:tcW w:w="701" w:type="pct"/>
            <w:tcBorders>
              <w:bottom w:val="single" w:color="auto" w:sz="4" w:space="0"/>
            </w:tcBorders>
            <w:vAlign w:val="center"/>
          </w:tcPr>
          <w:p w14:paraId="555C7BAB">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预期性</w:t>
            </w:r>
          </w:p>
        </w:tc>
      </w:tr>
      <w:tr w14:paraId="48E1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2" w:hRule="atLeast"/>
          <w:jc w:val="center"/>
        </w:trPr>
        <w:tc>
          <w:tcPr>
            <w:tcW w:w="690" w:type="dxa"/>
            <w:shd w:val="clear" w:color="auto" w:fill="auto"/>
            <w:vAlign w:val="center"/>
          </w:tcPr>
          <w:p w14:paraId="40E5359A">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16</w:t>
            </w:r>
          </w:p>
        </w:tc>
        <w:tc>
          <w:tcPr>
            <w:tcW w:w="2113" w:type="pct"/>
            <w:tcBorders>
              <w:bottom w:val="single" w:color="auto" w:sz="4" w:space="0"/>
            </w:tcBorders>
            <w:vAlign w:val="center"/>
          </w:tcPr>
          <w:p w14:paraId="22592776">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培育“新农人”等高素质农民</w:t>
            </w:r>
          </w:p>
        </w:tc>
        <w:tc>
          <w:tcPr>
            <w:tcW w:w="531" w:type="pct"/>
            <w:tcBorders>
              <w:bottom w:val="single" w:color="auto" w:sz="4" w:space="0"/>
            </w:tcBorders>
            <w:vAlign w:val="center"/>
          </w:tcPr>
          <w:p w14:paraId="49534C5F">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color w:val="auto"/>
                <w:sz w:val="24"/>
                <w:szCs w:val="24"/>
                <w:highlight w:val="none"/>
                <w:lang w:val="en-US" w:eastAsia="zh-CN"/>
              </w:rPr>
            </w:pPr>
            <w:r>
              <w:rPr>
                <w:rFonts w:hint="default" w:ascii="楷体" w:hAnsi="楷体" w:eastAsia="楷体" w:cs="楷体"/>
                <w:color w:val="auto"/>
                <w:sz w:val="24"/>
                <w:szCs w:val="24"/>
                <w:highlight w:val="none"/>
                <w:lang w:val="en-US" w:eastAsia="zh-CN"/>
              </w:rPr>
              <w:t>人次</w:t>
            </w:r>
          </w:p>
        </w:tc>
        <w:tc>
          <w:tcPr>
            <w:tcW w:w="592" w:type="pct"/>
            <w:tcBorders>
              <w:bottom w:val="single" w:color="auto" w:sz="4" w:space="0"/>
            </w:tcBorders>
            <w:vAlign w:val="center"/>
          </w:tcPr>
          <w:p w14:paraId="12CD2772">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w:t>
            </w:r>
          </w:p>
        </w:tc>
        <w:tc>
          <w:tcPr>
            <w:tcW w:w="631" w:type="pct"/>
            <w:tcBorders>
              <w:bottom w:val="single" w:color="auto" w:sz="4" w:space="0"/>
            </w:tcBorders>
            <w:shd w:val="clear" w:color="auto" w:fill="auto"/>
            <w:vAlign w:val="center"/>
          </w:tcPr>
          <w:p w14:paraId="59C1D6DC">
            <w:pPr>
              <w:pageBreakBefore w:val="0"/>
              <w:widowControl w:val="0"/>
              <w:shd w:val="clear"/>
              <w:kinsoku/>
              <w:wordWrap/>
              <w:overflowPunct/>
              <w:topLinePunct w:val="0"/>
              <w:bidi w:val="0"/>
              <w:adjustRightInd/>
              <w:spacing w:line="240" w:lineRule="auto"/>
              <w:ind w:firstLine="0" w:firstLineChars="0"/>
              <w:jc w:val="center"/>
              <w:rPr>
                <w:rFonts w:hint="default" w:ascii="楷体" w:hAnsi="楷体" w:eastAsia="楷体" w:cs="楷体"/>
                <w:bCs/>
                <w:color w:val="auto"/>
                <w:sz w:val="24"/>
                <w:szCs w:val="24"/>
                <w:highlight w:val="none"/>
                <w:lang w:val="en-US" w:eastAsia="zh-CN"/>
              </w:rPr>
            </w:pPr>
            <w:r>
              <w:rPr>
                <w:rFonts w:hint="eastAsia" w:ascii="楷体" w:hAnsi="楷体" w:eastAsia="楷体" w:cs="楷体"/>
                <w:bCs/>
                <w:color w:val="auto"/>
                <w:sz w:val="24"/>
                <w:szCs w:val="24"/>
                <w:highlight w:val="none"/>
                <w:lang w:val="en-US" w:eastAsia="zh-CN"/>
              </w:rPr>
              <w:t>1000</w:t>
            </w:r>
          </w:p>
        </w:tc>
        <w:tc>
          <w:tcPr>
            <w:tcW w:w="701" w:type="pct"/>
            <w:tcBorders>
              <w:bottom w:val="single" w:color="auto" w:sz="4" w:space="0"/>
            </w:tcBorders>
            <w:vAlign w:val="center"/>
          </w:tcPr>
          <w:p w14:paraId="52857DD3">
            <w:pPr>
              <w:pageBreakBefore w:val="0"/>
              <w:widowControl w:val="0"/>
              <w:shd w:val="clear"/>
              <w:kinsoku/>
              <w:wordWrap/>
              <w:overflowPunct/>
              <w:topLinePunct w:val="0"/>
              <w:bidi w:val="0"/>
              <w:adjustRightInd/>
              <w:spacing w:line="240" w:lineRule="auto"/>
              <w:ind w:firstLine="0" w:firstLineChars="0"/>
              <w:jc w:val="center"/>
              <w:rPr>
                <w:rFonts w:hint="eastAsia" w:ascii="楷体" w:hAnsi="楷体" w:eastAsia="楷体" w:cs="楷体"/>
                <w:bCs/>
                <w:color w:val="auto"/>
                <w:sz w:val="24"/>
                <w:szCs w:val="24"/>
                <w:highlight w:val="none"/>
                <w:lang w:val="en-US" w:eastAsia="zh-CN"/>
              </w:rPr>
            </w:pPr>
            <w:r>
              <w:rPr>
                <w:rFonts w:hint="default" w:ascii="楷体" w:hAnsi="楷体" w:eastAsia="楷体" w:cs="楷体"/>
                <w:bCs/>
                <w:color w:val="auto"/>
                <w:sz w:val="24"/>
                <w:szCs w:val="24"/>
                <w:highlight w:val="none"/>
                <w:lang w:val="en-US" w:eastAsia="zh-CN"/>
              </w:rPr>
              <w:t>预期性</w:t>
            </w:r>
          </w:p>
        </w:tc>
      </w:tr>
    </w:tbl>
    <w:p w14:paraId="7E14E2DF">
      <w:pPr>
        <w:pStyle w:val="4"/>
        <w:bidi w:val="0"/>
        <w:rPr>
          <w:color w:val="auto"/>
          <w:highlight w:val="none"/>
        </w:rPr>
      </w:pPr>
      <w:bookmarkStart w:id="38" w:name="_Toc24375"/>
      <w:bookmarkStart w:id="39" w:name="_Toc16282"/>
      <w:bookmarkStart w:id="40" w:name="_Toc21843"/>
      <w:bookmarkStart w:id="41" w:name="_Toc16459"/>
      <w:r>
        <w:rPr>
          <w:color w:val="auto"/>
          <w:highlight w:val="none"/>
        </w:rPr>
        <w:fldChar w:fldCharType="begin"/>
      </w:r>
      <w:r>
        <w:rPr>
          <w:color w:val="auto"/>
          <w:highlight w:val="none"/>
        </w:rPr>
        <w:instrText xml:space="preserve"> HYPERLINK \l _Toc3628 </w:instrText>
      </w:r>
      <w:r>
        <w:rPr>
          <w:color w:val="auto"/>
          <w:highlight w:val="none"/>
        </w:rPr>
        <w:fldChar w:fldCharType="separate"/>
      </w:r>
      <w:r>
        <w:rPr>
          <w:rFonts w:hint="eastAsia"/>
          <w:color w:val="auto"/>
          <w:highlight w:val="none"/>
        </w:rPr>
        <w:t>第</w:t>
      </w:r>
      <w:r>
        <w:rPr>
          <w:rFonts w:hint="eastAsia"/>
          <w:color w:val="auto"/>
          <w:highlight w:val="none"/>
          <w:lang w:val="en-US" w:eastAsia="zh-CN"/>
        </w:rPr>
        <w:t>四</w:t>
      </w:r>
      <w:r>
        <w:rPr>
          <w:rFonts w:hint="eastAsia"/>
          <w:color w:val="auto"/>
          <w:highlight w:val="none"/>
        </w:rPr>
        <w:t xml:space="preserve">节 </w:t>
      </w:r>
      <w:r>
        <w:rPr>
          <w:rFonts w:hint="eastAsia"/>
          <w:color w:val="auto"/>
          <w:highlight w:val="none"/>
          <w:lang w:val="en-US" w:eastAsia="zh-CN"/>
        </w:rPr>
        <w:t>空间布局</w:t>
      </w:r>
      <w:r>
        <w:rPr>
          <w:color w:val="auto"/>
          <w:highlight w:val="none"/>
        </w:rPr>
        <w:fldChar w:fldCharType="end"/>
      </w:r>
      <w:bookmarkEnd w:id="38"/>
      <w:bookmarkEnd w:id="39"/>
      <w:bookmarkEnd w:id="40"/>
      <w:bookmarkEnd w:id="41"/>
    </w:p>
    <w:p w14:paraId="63A0EB05">
      <w:pPr>
        <w:spacing w:line="360" w:lineRule="auto"/>
        <w:ind w:left="0" w:leftChars="0" w:firstLine="640" w:firstLineChars="200"/>
        <w:rPr>
          <w:rFonts w:hint="eastAsia" w:ascii="仿宋" w:hAnsi="仿宋" w:eastAsia="仿宋" w:cs="仿宋"/>
          <w:b w:val="0"/>
          <w:bCs w:val="0"/>
          <w:color w:val="auto"/>
          <w:sz w:val="32"/>
          <w:szCs w:val="32"/>
          <w:lang w:eastAsia="zh-CN"/>
        </w:rPr>
      </w:pPr>
      <w:r>
        <w:rPr>
          <w:rFonts w:hint="eastAsia" w:ascii="仿宋" w:hAnsi="仿宋" w:cs="仿宋"/>
          <w:b w:val="0"/>
          <w:bCs w:val="0"/>
          <w:color w:val="auto"/>
          <w:sz w:val="32"/>
          <w:szCs w:val="32"/>
          <w:lang w:val="en-US" w:eastAsia="zh-CN"/>
        </w:rPr>
        <w:t>“十五五”时期，海陵区立足“都市城郊型农业”发展定位，围绕“农文旅商创居”六维融合发展思路，总体形成</w:t>
      </w:r>
      <w:r>
        <w:rPr>
          <w:rFonts w:hint="eastAsia" w:ascii="仿宋" w:hAnsi="仿宋" w:cs="仿宋"/>
          <w:b/>
          <w:bCs/>
          <w:color w:val="auto"/>
          <w:sz w:val="32"/>
          <w:szCs w:val="32"/>
          <w:lang w:val="en-US" w:eastAsia="zh-CN"/>
        </w:rPr>
        <w:t>“一线、两板块、四组团”</w:t>
      </w:r>
      <w:r>
        <w:rPr>
          <w:rFonts w:hint="eastAsia" w:ascii="仿宋" w:hAnsi="仿宋" w:cs="仿宋"/>
          <w:b w:val="0"/>
          <w:bCs w:val="0"/>
          <w:color w:val="auto"/>
          <w:sz w:val="32"/>
          <w:szCs w:val="32"/>
          <w:lang w:val="en-US" w:eastAsia="zh-CN"/>
        </w:rPr>
        <w:t>的</w:t>
      </w:r>
      <w:r>
        <w:rPr>
          <w:rFonts w:hint="eastAsia" w:ascii="仿宋" w:hAnsi="仿宋" w:eastAsia="仿宋" w:cs="仿宋"/>
          <w:b w:val="0"/>
          <w:bCs w:val="0"/>
          <w:color w:val="auto"/>
          <w:sz w:val="32"/>
          <w:szCs w:val="32"/>
          <w:lang w:val="en-US" w:eastAsia="zh-CN"/>
        </w:rPr>
        <w:t>空间布局</w:t>
      </w:r>
      <w:r>
        <w:rPr>
          <w:rFonts w:hint="eastAsia" w:ascii="仿宋" w:hAnsi="仿宋" w:eastAsia="仿宋" w:cs="仿宋"/>
          <w:b w:val="0"/>
          <w:bCs w:val="0"/>
          <w:color w:val="auto"/>
          <w:sz w:val="32"/>
          <w:szCs w:val="32"/>
          <w:lang w:eastAsia="zh-CN"/>
        </w:rPr>
        <w:t>。</w:t>
      </w:r>
    </w:p>
    <w:p w14:paraId="0D56092C">
      <w:pPr>
        <w:spacing w:line="240" w:lineRule="auto"/>
        <w:ind w:left="0" w:leftChars="0" w:firstLine="0" w:firstLineChars="0"/>
        <w:jc w:val="center"/>
        <w:rPr>
          <w:rFonts w:hint="eastAsia" w:ascii="仿宋" w:hAnsi="仿宋" w:eastAsia="仿宋" w:cs="仿宋"/>
          <w:b w:val="0"/>
          <w:bCs w:val="0"/>
          <w:color w:val="auto"/>
          <w:sz w:val="32"/>
          <w:szCs w:val="32"/>
          <w:lang w:eastAsia="zh-CN"/>
        </w:rPr>
      </w:pPr>
      <w:r>
        <w:drawing>
          <wp:inline distT="0" distB="0" distL="114300" distR="114300">
            <wp:extent cx="4896485" cy="470344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rcRect b="5139"/>
                    <a:stretch>
                      <a:fillRect/>
                    </a:stretch>
                  </pic:blipFill>
                  <pic:spPr>
                    <a:xfrm>
                      <a:off x="0" y="0"/>
                      <a:ext cx="4896485" cy="4703445"/>
                    </a:xfrm>
                    <a:prstGeom prst="rect">
                      <a:avLst/>
                    </a:prstGeom>
                    <a:noFill/>
                    <a:ln>
                      <a:noFill/>
                    </a:ln>
                  </pic:spPr>
                </pic:pic>
              </a:graphicData>
            </a:graphic>
          </wp:inline>
        </w:drawing>
      </w:r>
    </w:p>
    <w:p w14:paraId="1473E01A">
      <w:pPr>
        <w:spacing w:line="360" w:lineRule="auto"/>
        <w:ind w:left="0" w:leftChars="0" w:firstLine="482" w:firstLineChars="200"/>
        <w:jc w:val="center"/>
        <w:rPr>
          <w:rFonts w:hint="default" w:ascii="仿宋" w:hAnsi="仿宋" w:cs="仿宋"/>
          <w:b/>
          <w:bCs/>
          <w:color w:val="auto"/>
          <w:sz w:val="32"/>
          <w:szCs w:val="32"/>
          <w:lang w:val="en-US" w:eastAsia="zh-CN"/>
        </w:rPr>
      </w:pPr>
      <w:r>
        <w:rPr>
          <w:rFonts w:hint="eastAsia"/>
          <w:b/>
          <w:bCs/>
          <w:color w:val="auto"/>
          <w:sz w:val="24"/>
          <w:szCs w:val="21"/>
          <w:highlight w:val="none"/>
          <w:lang w:val="en-US" w:eastAsia="zh-CN"/>
        </w:rPr>
        <w:t>图2-1 空间布局图</w:t>
      </w:r>
    </w:p>
    <w:p w14:paraId="74E51378">
      <w:pPr>
        <w:spacing w:line="360" w:lineRule="auto"/>
        <w:ind w:left="0" w:leftChars="0" w:firstLine="643" w:firstLineChars="200"/>
        <w:rPr>
          <w:rFonts w:hint="default" w:ascii="仿宋" w:hAnsi="仿宋" w:eastAsia="仿宋" w:cs="仿宋"/>
          <w:b w:val="0"/>
          <w:bCs w:val="0"/>
          <w:color w:val="auto"/>
          <w:sz w:val="32"/>
          <w:szCs w:val="32"/>
          <w:lang w:val="en-US" w:eastAsia="zh-CN"/>
        </w:rPr>
      </w:pPr>
      <w:r>
        <w:rPr>
          <w:rFonts w:hint="eastAsia" w:ascii="仿宋" w:hAnsi="仿宋" w:cs="仿宋"/>
          <w:b/>
          <w:bCs/>
          <w:color w:val="auto"/>
          <w:sz w:val="32"/>
          <w:szCs w:val="32"/>
          <w:lang w:eastAsia="zh-CN"/>
        </w:rPr>
        <w:t>“</w:t>
      </w:r>
      <w:r>
        <w:rPr>
          <w:rFonts w:hint="eastAsia" w:ascii="仿宋" w:hAnsi="仿宋" w:cs="仿宋"/>
          <w:b/>
          <w:bCs/>
          <w:color w:val="auto"/>
          <w:sz w:val="32"/>
          <w:szCs w:val="32"/>
          <w:lang w:val="en-US" w:eastAsia="zh-CN"/>
        </w:rPr>
        <w:t>一线”</w:t>
      </w:r>
      <w:r>
        <w:rPr>
          <w:rFonts w:hint="eastAsia" w:ascii="仿宋" w:hAnsi="仿宋" w:cs="仿宋"/>
          <w:b w:val="0"/>
          <w:bCs w:val="0"/>
          <w:color w:val="auto"/>
          <w:sz w:val="32"/>
          <w:szCs w:val="32"/>
          <w:lang w:val="en-US" w:eastAsia="zh-CN"/>
        </w:rPr>
        <w:t>即以兴泰路、麒麟大道、红旗大道、苏红路为主线，形成纵贯东西、连接各镇（街）、串联各功能组团的农旅融合公路线。</w:t>
      </w:r>
    </w:p>
    <w:p w14:paraId="115ABDC2">
      <w:pPr>
        <w:spacing w:line="360" w:lineRule="auto"/>
        <w:ind w:left="0" w:leftChars="0" w:firstLine="643" w:firstLineChars="200"/>
        <w:rPr>
          <w:rFonts w:hint="eastAsia" w:ascii="仿宋" w:hAnsi="仿宋" w:cs="仿宋"/>
          <w:b w:val="0"/>
          <w:bCs w:val="0"/>
          <w:color w:val="auto"/>
          <w:sz w:val="32"/>
          <w:szCs w:val="32"/>
          <w:lang w:eastAsia="zh-CN"/>
        </w:rPr>
      </w:pPr>
      <w:r>
        <w:rPr>
          <w:rFonts w:hint="default" w:ascii="仿宋" w:hAnsi="仿宋" w:cs="仿宋"/>
          <w:b/>
          <w:bCs/>
          <w:color w:val="auto"/>
          <w:sz w:val="32"/>
          <w:szCs w:val="32"/>
          <w:lang w:val="en-US" w:eastAsia="zh-CN"/>
        </w:rPr>
        <w:t>“</w:t>
      </w:r>
      <w:r>
        <w:rPr>
          <w:rFonts w:hint="eastAsia" w:ascii="仿宋" w:hAnsi="仿宋" w:cs="仿宋"/>
          <w:b/>
          <w:bCs/>
          <w:color w:val="auto"/>
          <w:sz w:val="32"/>
          <w:szCs w:val="32"/>
          <w:lang w:val="en-US" w:eastAsia="zh-CN"/>
        </w:rPr>
        <w:t>两板块”</w:t>
      </w:r>
      <w:r>
        <w:rPr>
          <w:rFonts w:hint="eastAsia" w:ascii="仿宋" w:hAnsi="仿宋" w:cs="仿宋"/>
          <w:b w:val="0"/>
          <w:bCs w:val="0"/>
          <w:color w:val="auto"/>
          <w:sz w:val="32"/>
          <w:szCs w:val="32"/>
          <w:lang w:val="en-US" w:eastAsia="zh-CN"/>
        </w:rPr>
        <w:t>即农业开发区核心区和现代乡村发展区。</w:t>
      </w:r>
      <w:r>
        <w:rPr>
          <w:rFonts w:hint="eastAsia" w:ascii="仿宋" w:hAnsi="仿宋" w:cs="仿宋"/>
          <w:b w:val="0"/>
          <w:bCs w:val="0"/>
          <w:color w:val="auto"/>
          <w:sz w:val="32"/>
          <w:szCs w:val="32"/>
          <w:lang w:eastAsia="zh-CN"/>
        </w:rPr>
        <w:t>农业开发区核心区作为</w:t>
      </w:r>
      <w:r>
        <w:rPr>
          <w:rFonts w:hint="eastAsia" w:ascii="仿宋" w:hAnsi="仿宋" w:cs="仿宋"/>
          <w:b w:val="0"/>
          <w:bCs w:val="0"/>
          <w:color w:val="auto"/>
          <w:sz w:val="32"/>
          <w:szCs w:val="32"/>
          <w:lang w:val="en-US" w:eastAsia="zh-CN"/>
        </w:rPr>
        <w:t>泰州市</w:t>
      </w:r>
      <w:r>
        <w:rPr>
          <w:rFonts w:hint="eastAsia" w:ascii="仿宋" w:hAnsi="仿宋" w:cs="仿宋"/>
          <w:b w:val="0"/>
          <w:bCs w:val="0"/>
          <w:color w:val="auto"/>
          <w:sz w:val="32"/>
          <w:szCs w:val="32"/>
          <w:lang w:eastAsia="zh-CN"/>
        </w:rPr>
        <w:t>农业发展的核心引擎，将重点聚焦种业创新、科技研发、加工转化等领域；</w:t>
      </w:r>
      <w:r>
        <w:rPr>
          <w:rFonts w:hint="eastAsia" w:ascii="仿宋" w:hAnsi="仿宋" w:cs="仿宋"/>
          <w:b w:val="0"/>
          <w:bCs w:val="0"/>
          <w:color w:val="auto"/>
          <w:sz w:val="32"/>
          <w:szCs w:val="32"/>
          <w:lang w:val="en-US" w:eastAsia="zh-CN"/>
        </w:rPr>
        <w:t>现代</w:t>
      </w:r>
      <w:r>
        <w:rPr>
          <w:rFonts w:hint="eastAsia" w:ascii="仿宋" w:hAnsi="仿宋" w:cs="仿宋"/>
          <w:b w:val="0"/>
          <w:bCs w:val="0"/>
          <w:color w:val="auto"/>
          <w:sz w:val="32"/>
          <w:szCs w:val="32"/>
          <w:lang w:eastAsia="zh-CN"/>
        </w:rPr>
        <w:t>乡村发展区作为业态创新与载体建设的前沿窗口，将着力推动都市田园展示、精致业态培育与城乡融合</w:t>
      </w:r>
      <w:r>
        <w:rPr>
          <w:rFonts w:hint="eastAsia" w:ascii="仿宋" w:hAnsi="仿宋" w:cs="仿宋"/>
          <w:b w:val="0"/>
          <w:bCs w:val="0"/>
          <w:color w:val="auto"/>
          <w:sz w:val="32"/>
          <w:szCs w:val="32"/>
          <w:lang w:val="en-US" w:eastAsia="zh-CN"/>
        </w:rPr>
        <w:t>示范</w:t>
      </w:r>
      <w:r>
        <w:rPr>
          <w:rFonts w:hint="eastAsia" w:ascii="仿宋" w:hAnsi="仿宋" w:cs="仿宋"/>
          <w:b w:val="0"/>
          <w:bCs w:val="0"/>
          <w:color w:val="auto"/>
          <w:sz w:val="32"/>
          <w:szCs w:val="32"/>
          <w:lang w:eastAsia="zh-CN"/>
        </w:rPr>
        <w:t>。</w:t>
      </w:r>
    </w:p>
    <w:p w14:paraId="71B5B7B0">
      <w:pPr>
        <w:widowControl/>
      </w:pPr>
      <w:r>
        <w:rPr>
          <w:rFonts w:hint="eastAsia" w:ascii="仿宋" w:hAnsi="仿宋" w:cs="仿宋"/>
          <w:b/>
          <w:bCs/>
          <w:color w:val="auto"/>
          <w:sz w:val="32"/>
          <w:szCs w:val="32"/>
          <w:lang w:val="en-US" w:eastAsia="zh-CN"/>
        </w:rPr>
        <w:t>“四组团”</w:t>
      </w:r>
      <w:r>
        <w:rPr>
          <w:rFonts w:hint="eastAsia" w:ascii="仿宋" w:hAnsi="仿宋" w:cs="仿宋"/>
          <w:b w:val="0"/>
          <w:bCs w:val="0"/>
          <w:color w:val="auto"/>
          <w:sz w:val="32"/>
          <w:szCs w:val="32"/>
          <w:lang w:val="en-US" w:eastAsia="zh-CN"/>
        </w:rPr>
        <w:t>即</w:t>
      </w:r>
      <w:r>
        <w:rPr>
          <w:rFonts w:hint="eastAsia" w:ascii="仿宋" w:hAnsi="仿宋" w:cs="仿宋"/>
          <w:b w:val="0"/>
          <w:bCs w:val="0"/>
          <w:color w:val="auto"/>
          <w:sz w:val="32"/>
          <w:szCs w:val="32"/>
          <w:highlight w:val="none"/>
          <w:lang w:val="en-US" w:eastAsia="zh-CN"/>
        </w:rPr>
        <w:t>都市休闲农业组团、农科互动体验组团、生态康养休闲组团、文创融合农业组团</w:t>
      </w:r>
      <w:r>
        <w:rPr>
          <w:rFonts w:hint="eastAsia" w:ascii="仿宋" w:hAnsi="仿宋" w:cs="仿宋"/>
          <w:b w:val="0"/>
          <w:bCs w:val="0"/>
          <w:color w:val="auto"/>
          <w:sz w:val="32"/>
          <w:szCs w:val="32"/>
          <w:lang w:val="en-US" w:eastAsia="zh-CN"/>
        </w:rPr>
        <w:t>。都市休闲农业组团以城西街道、城东街道、罡杨镇为主，重点发展农业休闲、乡村旅游、生态观光、亲子娱乐等业态；农科互动体验组团以红旗街道为核心，打造集农业教育、科技研学、农耕文化、自然科普、休闲游乐于一体的科教农旅综合体；生态康养休闲组团以华港镇为核心，发展集生态观光、文化体验、康养度假、研学教育于一体的里下河乡村旅游标杆；文创融合农业组团以苏陈镇为核心，打造集文创农园、手作体验、艺术展演、田园美学于一体的城乡产业融合发展示范区。</w:t>
      </w:r>
      <w:r>
        <w:br w:type="page"/>
      </w:r>
    </w:p>
    <w:p w14:paraId="04DACD6C">
      <w:pPr>
        <w:pStyle w:val="3"/>
        <w:bidi w:val="0"/>
        <w:rPr>
          <w:rFonts w:hint="default" w:eastAsia="黑体"/>
          <w:color w:val="auto"/>
          <w:lang w:val="en-US" w:eastAsia="zh-CN"/>
        </w:rPr>
      </w:pPr>
      <w:bookmarkStart w:id="42" w:name="_Toc6418"/>
      <w:bookmarkStart w:id="43" w:name="_Toc4433"/>
      <w:bookmarkStart w:id="44" w:name="_Toc21185"/>
      <w:bookmarkStart w:id="45" w:name="_Toc30270"/>
      <w:r>
        <w:rPr>
          <w:rFonts w:hint="eastAsia"/>
          <w:color w:val="auto"/>
          <w:lang w:val="en-US" w:eastAsia="zh-CN"/>
        </w:rPr>
        <w:t>第三章 全面推进都市农业高质量发展</w:t>
      </w:r>
      <w:bookmarkEnd w:id="42"/>
      <w:bookmarkEnd w:id="43"/>
      <w:bookmarkEnd w:id="44"/>
      <w:bookmarkEnd w:id="45"/>
    </w:p>
    <w:p w14:paraId="78A840F9">
      <w:pPr>
        <w:pStyle w:val="4"/>
        <w:rPr>
          <w:rFonts w:hint="default"/>
          <w:color w:val="auto"/>
          <w:lang w:val="en-US" w:eastAsia="zh-CN"/>
        </w:rPr>
      </w:pPr>
      <w:bookmarkStart w:id="46" w:name="_Toc28266"/>
      <w:bookmarkStart w:id="47" w:name="_Toc9640"/>
      <w:bookmarkStart w:id="48" w:name="_Toc27552"/>
      <w:bookmarkStart w:id="49" w:name="_Toc5886"/>
      <w:r>
        <w:rPr>
          <w:rFonts w:hint="eastAsia"/>
          <w:color w:val="auto"/>
          <w:lang w:val="en-US" w:eastAsia="zh-CN"/>
        </w:rPr>
        <w:t>第一节 夯实农业生产基础条件</w:t>
      </w:r>
      <w:bookmarkEnd w:id="46"/>
      <w:bookmarkEnd w:id="47"/>
      <w:bookmarkEnd w:id="48"/>
      <w:bookmarkEnd w:id="49"/>
    </w:p>
    <w:p w14:paraId="119D03FA">
      <w:pPr>
        <w:ind w:firstLine="643"/>
        <w:rPr>
          <w:rFonts w:hint="default"/>
          <w:b w:val="0"/>
          <w:bCs w:val="0"/>
          <w:lang w:val="en-US" w:eastAsia="zh-CN"/>
        </w:rPr>
      </w:pPr>
      <w:r>
        <w:rPr>
          <w:rFonts w:hint="eastAsia"/>
          <w:b/>
          <w:bCs/>
          <w:lang w:val="en-US" w:eastAsia="zh-CN"/>
        </w:rPr>
        <w:t>推进优质粮食稳产增效。</w:t>
      </w:r>
      <w:r>
        <w:rPr>
          <w:rFonts w:hint="eastAsia"/>
          <w:b w:val="0"/>
          <w:bCs w:val="0"/>
          <w:lang w:val="en-US" w:eastAsia="zh-CN"/>
        </w:rPr>
        <w:t>严格落实耕地保护和粮食安全“党政同责”，稳定粮食生产面积，主攻单产和品质提升，以粮食单产提升三年行动为抓手，建设一批“百亩攻关田、千亩示范方、万亩高产片”，开展新品种、新技术、新装备、新模式示范展示，推动良田、良种、良法、良机、良制“五良”集成。推广高产优质、抗逆性强、适应性广的优质稻麦品种，优化稻麦品种结构，实现良种全覆盖。实施稻麦周年高产栽培等耕作模式，开展优良品种和配套集成高产高效技术（模式）研究。加强粮食收储及调控能力建设，推进高标准粮库和粮食流通基础设施建设。到2030年，粮食播种面积稳定在19.6万亩以上，粮食总产量稳定在9.5万吨以上。</w:t>
      </w:r>
    </w:p>
    <w:p w14:paraId="7D85E4E5">
      <w:pPr>
        <w:rPr>
          <w:rFonts w:hint="eastAsia" w:ascii="Times New Roman" w:hAnsi="Times New Roman" w:cs="Times New Roman"/>
          <w:b w:val="0"/>
          <w:bCs w:val="0"/>
          <w:lang w:val="en-US" w:eastAsia="zh-CN"/>
        </w:rPr>
      </w:pPr>
      <w:r>
        <w:rPr>
          <w:rFonts w:hint="eastAsia"/>
          <w:b/>
          <w:bCs/>
          <w:color w:val="auto"/>
          <w:lang w:val="en-US" w:eastAsia="zh-CN"/>
        </w:rPr>
        <w:t>保障其他重要农产品有效供给。</w:t>
      </w:r>
      <w:r>
        <w:rPr>
          <w:rFonts w:hint="eastAsia" w:ascii="Times New Roman" w:hAnsi="Times New Roman" w:cs="Times New Roman"/>
          <w:b w:val="0"/>
          <w:bCs w:val="0"/>
          <w:lang w:val="en-US" w:eastAsia="zh-CN"/>
        </w:rPr>
        <w:t>践行大食物观，保障多元化食物有效供给，突出抓好</w:t>
      </w:r>
      <w:r>
        <w:rPr>
          <w:rFonts w:hint="eastAsia" w:cs="Times New Roman"/>
          <w:b w:val="0"/>
          <w:bCs w:val="0"/>
          <w:lang w:val="en-US" w:eastAsia="zh-CN"/>
        </w:rPr>
        <w:t>“</w:t>
      </w:r>
      <w:r>
        <w:rPr>
          <w:rFonts w:hint="eastAsia" w:ascii="Times New Roman" w:hAnsi="Times New Roman" w:cs="Times New Roman"/>
          <w:b w:val="0"/>
          <w:bCs w:val="0"/>
          <w:lang w:val="en-US" w:eastAsia="zh-CN"/>
        </w:rPr>
        <w:t>菜篮子</w:t>
      </w:r>
      <w:r>
        <w:rPr>
          <w:rFonts w:hint="eastAsia" w:cs="Times New Roman"/>
          <w:b w:val="0"/>
          <w:bCs w:val="0"/>
          <w:lang w:val="en-US" w:eastAsia="zh-CN"/>
        </w:rPr>
        <w:t>”“</w:t>
      </w:r>
      <w:r>
        <w:rPr>
          <w:rFonts w:hint="eastAsia" w:ascii="Times New Roman" w:hAnsi="Times New Roman" w:cs="Times New Roman"/>
          <w:b w:val="0"/>
          <w:bCs w:val="0"/>
          <w:lang w:val="en-US" w:eastAsia="zh-CN"/>
        </w:rPr>
        <w:t>肉盘子</w:t>
      </w:r>
      <w:r>
        <w:rPr>
          <w:rFonts w:hint="eastAsia" w:cs="Times New Roman"/>
          <w:b w:val="0"/>
          <w:bCs w:val="0"/>
          <w:lang w:val="en-US" w:eastAsia="zh-CN"/>
        </w:rPr>
        <w:t>”“</w:t>
      </w:r>
      <w:r>
        <w:rPr>
          <w:rFonts w:hint="eastAsia" w:ascii="Times New Roman" w:hAnsi="Times New Roman" w:cs="Times New Roman"/>
          <w:b w:val="0"/>
          <w:bCs w:val="0"/>
          <w:lang w:val="en-US" w:eastAsia="zh-CN"/>
        </w:rPr>
        <w:t>鱼篓子</w:t>
      </w:r>
      <w:r>
        <w:rPr>
          <w:rFonts w:hint="eastAsia" w:cs="Times New Roman"/>
          <w:b w:val="0"/>
          <w:bCs w:val="0"/>
          <w:lang w:val="en-US" w:eastAsia="zh-CN"/>
        </w:rPr>
        <w:t>”</w:t>
      </w:r>
      <w:r>
        <w:rPr>
          <w:rFonts w:hint="eastAsia" w:ascii="Times New Roman" w:hAnsi="Times New Roman" w:cs="Times New Roman"/>
          <w:b w:val="0"/>
          <w:bCs w:val="0"/>
          <w:lang w:val="en-US" w:eastAsia="zh-CN"/>
        </w:rPr>
        <w:t>等工程。</w:t>
      </w:r>
      <w:r>
        <w:rPr>
          <w:rFonts w:hint="eastAsia" w:cs="Times New Roman"/>
          <w:b w:val="0"/>
          <w:bCs w:val="0"/>
          <w:lang w:val="en-US" w:eastAsia="zh-CN"/>
        </w:rPr>
        <w:t>建设“菜篮子”工程绿色蔬菜保供基地</w:t>
      </w:r>
      <w:r>
        <w:rPr>
          <w:rFonts w:hint="eastAsia" w:ascii="Times New Roman" w:hAnsi="Times New Roman" w:cs="Times New Roman"/>
          <w:b w:val="0"/>
          <w:bCs w:val="0"/>
          <w:lang w:val="en-US" w:eastAsia="zh-CN"/>
        </w:rPr>
        <w:t>，蔬菜播种面积稳定在9万亩左右</w:t>
      </w:r>
      <w:r>
        <w:rPr>
          <w:rFonts w:hint="eastAsia" w:cs="Times New Roman"/>
          <w:b w:val="0"/>
          <w:bCs w:val="0"/>
          <w:lang w:val="en-US" w:eastAsia="zh-CN"/>
        </w:rPr>
        <w:t>，推动城东街道“省级菜篮子基地”、华港镇“万亩蔬菜基地”提档升级，</w:t>
      </w:r>
      <w:r>
        <w:rPr>
          <w:rFonts w:hint="eastAsia" w:ascii="Times New Roman" w:hAnsi="Times New Roman" w:cs="Times New Roman"/>
          <w:b w:val="0"/>
          <w:bCs w:val="0"/>
          <w:lang w:val="en-US" w:eastAsia="zh-CN"/>
        </w:rPr>
        <w:t>开展适宜本地区的蔬菜新品种筛选、示范，培植推广丁冯爆竹香丝瓜、港口紫荷芋等特色蔬菜品种。在稳定肉鸡、蛋鸡生产的基础上，加快发展鸭、鹅、鹌鹑等地方特色家禽生产，有序推进清洁蛋品生产</w:t>
      </w:r>
      <w:r>
        <w:rPr>
          <w:rFonts w:hint="eastAsia" w:cs="Times New Roman"/>
          <w:b w:val="0"/>
          <w:bCs w:val="0"/>
          <w:lang w:val="en-US" w:eastAsia="zh-CN"/>
        </w:rPr>
        <w:t>。</w:t>
      </w:r>
      <w:r>
        <w:rPr>
          <w:rFonts w:hint="eastAsia" w:ascii="Times New Roman" w:hAnsi="Times New Roman" w:cs="Times New Roman"/>
          <w:b w:val="0"/>
          <w:bCs w:val="0"/>
          <w:lang w:val="en-US" w:eastAsia="zh-CN"/>
        </w:rPr>
        <w:t>加强畜禽水产生态健康养殖，</w:t>
      </w:r>
      <w:r>
        <w:rPr>
          <w:rFonts w:hint="eastAsia" w:cs="Times New Roman"/>
          <w:b w:val="0"/>
          <w:bCs w:val="0"/>
          <w:lang w:val="en-US" w:eastAsia="zh-CN"/>
        </w:rPr>
        <w:t>稳定养殖规模，</w:t>
      </w:r>
      <w:r>
        <w:rPr>
          <w:rFonts w:hint="eastAsia" w:ascii="Times New Roman" w:hAnsi="Times New Roman" w:cs="Times New Roman"/>
          <w:b w:val="0"/>
          <w:bCs w:val="0"/>
          <w:lang w:val="en-US" w:eastAsia="zh-CN"/>
        </w:rPr>
        <w:t>能繁母猪存栏量稳定在1000头左右、生猪规模养殖场保有量稳定在6家以上，水产养殖面积稳定在3.1万亩以上，特色（优质）水产养殖面积稳定在2.2万亩以上，水产品产量达1.3万吨以上</w:t>
      </w:r>
      <w:r>
        <w:rPr>
          <w:rFonts w:hint="eastAsia" w:cs="Times New Roman"/>
          <w:b w:val="0"/>
          <w:bCs w:val="0"/>
          <w:lang w:val="en-US" w:eastAsia="zh-CN"/>
        </w:rPr>
        <w:t>。</w:t>
      </w:r>
    </w:p>
    <w:p w14:paraId="1D53157E">
      <w:pPr>
        <w:rPr>
          <w:rFonts w:hint="eastAsia"/>
          <w:lang w:val="en-US" w:eastAsia="zh-CN"/>
        </w:rPr>
      </w:pPr>
      <w:r>
        <w:rPr>
          <w:rFonts w:hint="eastAsia"/>
          <w:b/>
          <w:bCs/>
          <w:color w:val="auto"/>
          <w:highlight w:val="none"/>
          <w:lang w:val="en-US" w:eastAsia="zh-CN"/>
        </w:rPr>
        <w:t>加强高标准农田建设和耕地保护。</w:t>
      </w:r>
      <w:r>
        <w:rPr>
          <w:rFonts w:hint="eastAsia"/>
          <w:b w:val="0"/>
          <w:bCs w:val="0"/>
          <w:color w:val="auto"/>
          <w:highlight w:val="none"/>
          <w:lang w:val="en-US" w:eastAsia="zh-CN"/>
        </w:rPr>
        <w:t>加大资金投入和政策支持，</w:t>
      </w:r>
      <w:r>
        <w:rPr>
          <w:rFonts w:hint="eastAsia"/>
          <w:lang w:val="en-US" w:eastAsia="zh-CN"/>
        </w:rPr>
        <w:t>大力实施高标准农田改造提升工程，</w:t>
      </w:r>
      <w:r>
        <w:rPr>
          <w:rFonts w:hint="eastAsia"/>
          <w:color w:val="auto"/>
          <w:lang w:val="en-US" w:eastAsia="zh-CN"/>
        </w:rPr>
        <w:t>打造“连片化、生态化、高产化、数字化、智能化、美观化”的万亩农田示范方。明确管护范围和责任主体，加快构建“区级牵头、镇街落实、村为主体、所有者管护、使用者自护、受益者参与”的管护机制。</w:t>
      </w:r>
      <w:r>
        <w:rPr>
          <w:rFonts w:hint="default"/>
          <w:color w:val="auto"/>
          <w:lang w:val="en-US" w:eastAsia="zh-CN"/>
        </w:rPr>
        <w:t>推广测土配方施肥技术、发展水肥一体化模式、水稻侧深施肥技术，提高科学施肥水平</w:t>
      </w:r>
      <w:r>
        <w:rPr>
          <w:rFonts w:hint="eastAsia"/>
          <w:lang w:val="en-US" w:eastAsia="zh-CN"/>
        </w:rPr>
        <w:t>，探索开展数字农业、病虫害综合防治等农业科技应用，增加土壤有机质含量，配套建设耕地质量监测点，提升耕地质量管理水平，全面提升耕地质量。到2030年，改造提升高标准农田1万亩左右。</w:t>
      </w:r>
    </w:p>
    <w:p w14:paraId="6D04E373">
      <w:pPr>
        <w:ind w:firstLine="643"/>
        <w:rPr>
          <w:rFonts w:hint="eastAsia"/>
          <w:sz w:val="32"/>
          <w:lang w:val="en-US" w:eastAsia="zh-CN"/>
        </w:rPr>
      </w:pPr>
      <w:r>
        <w:rPr>
          <w:rFonts w:hint="eastAsia"/>
          <w:b/>
          <w:bCs/>
          <w:color w:val="auto"/>
          <w:sz w:val="32"/>
          <w:highlight w:val="none"/>
          <w:lang w:val="en-US" w:eastAsia="zh-CN"/>
        </w:rPr>
        <w:t>支持设施农业更新改造</w:t>
      </w:r>
      <w:r>
        <w:rPr>
          <w:rFonts w:hint="eastAsia" w:eastAsia="仿宋"/>
          <w:b/>
          <w:bCs/>
          <w:color w:val="auto"/>
          <w:sz w:val="32"/>
          <w:highlight w:val="none"/>
        </w:rPr>
        <w:t>。</w:t>
      </w:r>
      <w:r>
        <w:rPr>
          <w:rFonts w:hint="eastAsia" w:eastAsia="仿宋"/>
          <w:sz w:val="32"/>
        </w:rPr>
        <w:t>以优化设施农业布局、升级改造老旧设施、推进先进设施示范带动为重点</w:t>
      </w:r>
      <w:r>
        <w:rPr>
          <w:rFonts w:hint="eastAsia"/>
          <w:sz w:val="32"/>
          <w:lang w:eastAsia="zh-CN"/>
        </w:rPr>
        <w:t>，</w:t>
      </w:r>
      <w:r>
        <w:rPr>
          <w:rFonts w:hint="eastAsia"/>
          <w:sz w:val="32"/>
          <w:lang w:val="en-US" w:eastAsia="zh-CN"/>
        </w:rPr>
        <w:t>开展</w:t>
      </w:r>
      <w:r>
        <w:rPr>
          <w:rFonts w:hint="eastAsia" w:eastAsia="仿宋"/>
          <w:sz w:val="32"/>
        </w:rPr>
        <w:t>设施农业现代化提升行动</w:t>
      </w:r>
      <w:r>
        <w:rPr>
          <w:rFonts w:hint="eastAsia"/>
          <w:sz w:val="32"/>
          <w:lang w:val="en-US" w:eastAsia="zh-CN"/>
        </w:rPr>
        <w:t>。</w:t>
      </w:r>
      <w:r>
        <w:rPr>
          <w:rFonts w:hint="eastAsia"/>
          <w:sz w:val="32"/>
          <w:lang w:eastAsia="zh-CN"/>
        </w:rPr>
        <w:t>支持</w:t>
      </w:r>
      <w:r>
        <w:rPr>
          <w:rFonts w:hint="eastAsia"/>
          <w:sz w:val="32"/>
          <w:lang w:val="en-US" w:eastAsia="zh-CN"/>
        </w:rPr>
        <w:t>华港镇、罡杨镇等镇（街）开展</w:t>
      </w:r>
      <w:r>
        <w:rPr>
          <w:rFonts w:hint="eastAsia"/>
          <w:sz w:val="32"/>
          <w:lang w:eastAsia="zh-CN"/>
        </w:rPr>
        <w:t>老旧低效设施</w:t>
      </w:r>
      <w:r>
        <w:rPr>
          <w:rFonts w:hint="eastAsia"/>
          <w:sz w:val="32"/>
          <w:lang w:val="en-US" w:eastAsia="zh-CN"/>
        </w:rPr>
        <w:t>改造</w:t>
      </w:r>
      <w:r>
        <w:rPr>
          <w:rFonts w:hint="eastAsia"/>
          <w:sz w:val="32"/>
          <w:lang w:eastAsia="zh-CN"/>
        </w:rPr>
        <w:t>，推广普及“两网一灌”设施，建设节能高效宜机的现代设施种植基地。</w:t>
      </w:r>
      <w:r>
        <w:rPr>
          <w:rFonts w:hint="eastAsia"/>
          <w:sz w:val="32"/>
          <w:lang w:val="en-US" w:eastAsia="zh-CN"/>
        </w:rPr>
        <w:t>支持发展连栋温室、植物工厂、数智方舱等先进生产设施，引进物联网温室控制系统、水肥一体化、智能补光等装备，</w:t>
      </w:r>
      <w:r>
        <w:rPr>
          <w:rFonts w:hint="eastAsia"/>
          <w:b w:val="0"/>
          <w:bCs w:val="0"/>
          <w:color w:val="auto"/>
          <w:lang w:val="en-US" w:eastAsia="zh-CN"/>
        </w:rPr>
        <w:t>推动设施农业向智能化、数字化升级</w:t>
      </w:r>
      <w:r>
        <w:rPr>
          <w:rFonts w:hint="eastAsia"/>
          <w:sz w:val="32"/>
          <w:lang w:val="en-US" w:eastAsia="zh-CN"/>
        </w:rPr>
        <w:t>。</w:t>
      </w:r>
      <w:r>
        <w:rPr>
          <w:rFonts w:hint="eastAsia"/>
          <w:b w:val="0"/>
          <w:bCs w:val="0"/>
          <w:color w:val="auto"/>
          <w:lang w:val="en-US" w:eastAsia="zh-CN"/>
        </w:rPr>
        <w:t>开展畜禽标准化养殖设施建设与设备配套，促进畜禽粪污处理设施升级改造，推动规模养殖场设施设备提档升级。结合“三池两坝”、人工湿地等设施建设，实施养殖池塘标准化改造，实现池塘养殖尾水达标排放。到2030年，设施农业总面积突破1万亩。</w:t>
      </w:r>
    </w:p>
    <w:p w14:paraId="73A00543">
      <w:pPr>
        <w:rPr>
          <w:rFonts w:hint="eastAsia" w:ascii="Times New Roman" w:hAnsi="Times New Roman" w:cs="Times New Roman"/>
          <w:sz w:val="32"/>
          <w:lang w:val="en-US" w:eastAsia="zh-CN"/>
        </w:rPr>
      </w:pPr>
      <w:r>
        <w:rPr>
          <w:rFonts w:hint="eastAsia"/>
          <w:b/>
          <w:bCs/>
          <w:color w:val="auto"/>
          <w:sz w:val="32"/>
          <w:highlight w:val="none"/>
          <w:lang w:val="en-US" w:eastAsia="zh-CN"/>
        </w:rPr>
        <w:t>推进农业绿色高质量发展。</w:t>
      </w:r>
      <w:r>
        <w:rPr>
          <w:rFonts w:hint="default" w:ascii="Times New Roman" w:hAnsi="Times New Roman" w:cs="Times New Roman"/>
          <w:sz w:val="32"/>
          <w:highlight w:val="none"/>
          <w:lang w:val="en-US" w:eastAsia="zh-CN"/>
        </w:rPr>
        <w:t>深</w:t>
      </w:r>
      <w:r>
        <w:rPr>
          <w:rFonts w:hint="default" w:ascii="Times New Roman" w:hAnsi="Times New Roman" w:cs="Times New Roman"/>
          <w:sz w:val="32"/>
          <w:lang w:val="en-US" w:eastAsia="zh-CN"/>
        </w:rPr>
        <w:t>入开展化肥农药减量增效行动</w:t>
      </w:r>
      <w:r>
        <w:rPr>
          <w:rFonts w:hint="eastAsia" w:ascii="Times New Roman" w:hAnsi="Times New Roman" w:cs="Times New Roman"/>
          <w:sz w:val="32"/>
          <w:lang w:val="en-US" w:eastAsia="zh-CN"/>
        </w:rPr>
        <w:t>，</w:t>
      </w:r>
      <w:r>
        <w:rPr>
          <w:rFonts w:hint="default" w:ascii="Times New Roman" w:hAnsi="Times New Roman" w:cs="Times New Roman"/>
          <w:sz w:val="32"/>
          <w:lang w:val="en-US" w:eastAsia="zh-CN"/>
        </w:rPr>
        <w:t>全面推进秸秆机械化还田和秸秆离田综合利用工作</w:t>
      </w:r>
      <w:r>
        <w:rPr>
          <w:rFonts w:hint="eastAsia" w:cs="Times New Roman"/>
          <w:sz w:val="32"/>
          <w:lang w:val="en-US" w:eastAsia="zh-CN"/>
        </w:rPr>
        <w:t>。以华港镇省级绿色防控示范基地为标杆，开展新药剂试验与技术集成，实现农药减量与农产品质量安全双提升。深化</w:t>
      </w:r>
      <w:r>
        <w:rPr>
          <w:rFonts w:hint="eastAsia" w:ascii="Times New Roman" w:hAnsi="Times New Roman" w:cs="Times New Roman"/>
          <w:sz w:val="32"/>
          <w:lang w:val="en-US" w:eastAsia="zh-CN"/>
        </w:rPr>
        <w:t>废旧农膜和农药包装废弃物回收处置，强化农业废弃物、畜禽粪污资源化利用</w:t>
      </w:r>
      <w:r>
        <w:rPr>
          <w:rFonts w:hint="eastAsia" w:cs="Times New Roman"/>
          <w:sz w:val="32"/>
          <w:lang w:val="en-US" w:eastAsia="zh-CN"/>
        </w:rPr>
        <w:t>。加强绿色、有机、名特优新和地理标志农产品培育，加快华港镇、罡杨镇和苏陈镇绿色有机农产品原料（水稻）基地建设，提高绿色优质农产品比重。加强食用农产品市场销售质量安全监管，强化食用农产品抽样检验，推广应用胶体金等新型速测技术，落实承诺达标合格证制度，构建产地准出分类监管制度。</w:t>
      </w:r>
      <w:r>
        <w:rPr>
          <w:rFonts w:hint="eastAsia" w:ascii="Times New Roman" w:hAnsi="Times New Roman" w:cs="Times New Roman"/>
          <w:sz w:val="32"/>
          <w:lang w:val="en-US" w:eastAsia="zh-CN"/>
        </w:rPr>
        <w:t>到2030年，秸秆综合利用率保持在99%以上，农膜回收率达95%以上，农药包装废弃物回收率达100%</w:t>
      </w:r>
      <w:r>
        <w:rPr>
          <w:rFonts w:hint="eastAsia" w:cs="Times New Roman"/>
          <w:sz w:val="32"/>
          <w:lang w:val="en-US" w:eastAsia="zh-CN"/>
        </w:rPr>
        <w:t>，农产品质量安全监测合格率稳定在98.5%以上，绿色优质农产品比重达87%</w:t>
      </w:r>
      <w:r>
        <w:rPr>
          <w:rFonts w:hint="eastAsia" w:ascii="Times New Roman" w:hAnsi="Times New Roman" w:cs="Times New Roman"/>
          <w:sz w:val="32"/>
          <w:lang w:val="en-US" w:eastAsia="zh-CN"/>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071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3CD72BC">
            <w:pPr>
              <w:widowControl w:val="0"/>
              <w:ind w:firstLine="0" w:firstLineChars="0"/>
              <w:jc w:val="center"/>
              <w:rPr>
                <w:rFonts w:hint="eastAsia" w:cs="Times New Roman"/>
                <w:b/>
                <w:bCs/>
                <w:color w:val="auto"/>
                <w:sz w:val="21"/>
                <w:szCs w:val="21"/>
                <w:highlight w:val="none"/>
                <w:lang w:val="en-US" w:eastAsia="zh-CN"/>
              </w:rPr>
            </w:pPr>
            <w:r>
              <w:rPr>
                <w:rFonts w:hint="eastAsia" w:ascii="Times New Roman" w:eastAsia="仿宋"/>
                <w:b/>
                <w:bCs/>
                <w:color w:val="auto"/>
                <w:sz w:val="21"/>
                <w:szCs w:val="21"/>
                <w:highlight w:val="none"/>
                <w:lang w:val="en-US" w:eastAsia="zh-CN"/>
              </w:rPr>
              <w:t>专栏</w:t>
            </w:r>
            <w:r>
              <w:rPr>
                <w:rFonts w:hint="eastAsia"/>
                <w:b/>
                <w:bCs/>
                <w:color w:val="auto"/>
                <w:sz w:val="21"/>
                <w:szCs w:val="21"/>
                <w:highlight w:val="none"/>
                <w:lang w:val="en-US" w:eastAsia="zh-CN"/>
              </w:rPr>
              <w:t>一</w:t>
            </w:r>
            <w:r>
              <w:rPr>
                <w:rFonts w:hint="eastAsia" w:ascii="Times New Roman" w:hAnsi="Times New Roman"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推进农业全面绿色转型</w:t>
            </w:r>
          </w:p>
          <w:p w14:paraId="6F688A28">
            <w:pPr>
              <w:widowControl w:val="0"/>
              <w:ind w:firstLine="0"/>
              <w:rPr>
                <w:rFonts w:hint="default" w:ascii="Times New Roman"/>
                <w:b w:val="0"/>
                <w:bCs w:val="0"/>
                <w:color w:val="auto"/>
                <w:sz w:val="21"/>
                <w:szCs w:val="21"/>
                <w:highlight w:val="none"/>
                <w:lang w:val="en-US" w:eastAsia="zh-CN" w:bidi="ar"/>
              </w:rPr>
            </w:pPr>
            <w:r>
              <w:rPr>
                <w:rFonts w:hint="eastAsia" w:ascii="Times New Roman"/>
                <w:b w:val="0"/>
                <w:bCs w:val="0"/>
                <w:color w:val="auto"/>
                <w:sz w:val="21"/>
                <w:szCs w:val="21"/>
                <w:highlight w:val="none"/>
                <w:lang w:val="en-US" w:eastAsia="zh-CN" w:bidi="ar"/>
              </w:rPr>
              <w:t>以农业资源环境承载力为基准，聚焦化肥农药减量增效、农业废弃物资源化利用等重点工作</w:t>
            </w:r>
            <w:r>
              <w:rPr>
                <w:rFonts w:hint="eastAsia"/>
                <w:b w:val="0"/>
                <w:bCs w:val="0"/>
                <w:color w:val="auto"/>
                <w:sz w:val="21"/>
                <w:szCs w:val="21"/>
                <w:highlight w:val="none"/>
                <w:lang w:val="en-US" w:eastAsia="zh-CN" w:bidi="ar"/>
              </w:rPr>
              <w:t>，</w:t>
            </w:r>
            <w:r>
              <w:rPr>
                <w:rFonts w:hint="eastAsia" w:ascii="Times New Roman"/>
                <w:b w:val="0"/>
                <w:bCs w:val="0"/>
                <w:color w:val="auto"/>
                <w:sz w:val="21"/>
                <w:szCs w:val="21"/>
                <w:highlight w:val="none"/>
                <w:lang w:val="en-US" w:eastAsia="zh-CN" w:bidi="ar"/>
              </w:rPr>
              <w:t>加快农业发展全面绿色转型</w:t>
            </w:r>
            <w:r>
              <w:rPr>
                <w:rFonts w:hint="eastAsia"/>
                <w:b w:val="0"/>
                <w:bCs w:val="0"/>
                <w:color w:val="auto"/>
                <w:sz w:val="21"/>
                <w:szCs w:val="21"/>
                <w:highlight w:val="none"/>
                <w:lang w:val="en-US" w:eastAsia="zh-CN" w:bidi="ar"/>
              </w:rPr>
              <w:t>、促进乡村生态振兴</w:t>
            </w:r>
            <w:r>
              <w:rPr>
                <w:rFonts w:hint="eastAsia" w:ascii="Times New Roman"/>
                <w:b w:val="0"/>
                <w:bCs w:val="0"/>
                <w:color w:val="auto"/>
                <w:sz w:val="21"/>
                <w:szCs w:val="21"/>
                <w:highlight w:val="none"/>
                <w:lang w:val="en-US" w:eastAsia="zh-CN" w:bidi="ar"/>
              </w:rPr>
              <w:t>。</w:t>
            </w:r>
          </w:p>
          <w:p w14:paraId="11097F7A">
            <w:pPr>
              <w:pStyle w:val="19"/>
              <w:spacing w:line="360" w:lineRule="auto"/>
              <w:ind w:firstLine="422"/>
              <w:rPr>
                <w:rFonts w:hint="default"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1.推进化肥农药减量增效。</w:t>
            </w:r>
            <w:r>
              <w:rPr>
                <w:rFonts w:hint="eastAsia" w:ascii="Times New Roman"/>
                <w:b w:val="0"/>
                <w:bCs w:val="0"/>
                <w:color w:val="auto"/>
                <w:sz w:val="21"/>
                <w:szCs w:val="21"/>
                <w:highlight w:val="none"/>
                <w:lang w:val="en-US" w:eastAsia="zh-CN" w:bidi="ar"/>
              </w:rPr>
              <w:t>实施科学施肥增效行动，持续推进测土配方施肥、水肥一体化、有机肥替代化肥、缓控释肥料等方式。推进病虫害绿色防控与统防统治融合，集成应用生态调控、理化诱控和高效低毒农药。以生猪、蛋鸡、肉鸡等畜禽品种为重点，实施兽用抗菌药使用减量化行动，推广替代产品，严格遵守处方药和休药期制度。</w:t>
            </w:r>
          </w:p>
          <w:p w14:paraId="4D6FAF11">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2.推动农作物秸秆综合利用。</w:t>
            </w:r>
            <w:r>
              <w:rPr>
                <w:rFonts w:hint="eastAsia" w:ascii="Times New Roman"/>
                <w:b w:val="0"/>
                <w:bCs w:val="0"/>
                <w:color w:val="auto"/>
                <w:sz w:val="21"/>
                <w:szCs w:val="21"/>
                <w:highlight w:val="none"/>
                <w:lang w:val="en-US" w:eastAsia="zh-CN" w:bidi="ar"/>
              </w:rPr>
              <w:t>分区域、分作物推广翻埋、碎混、堆沤腐熟等秸秆还田技术模式，加大秸秆生物菌剂、酶制剂等配套产品开发应用。强化秸秆收集、储运、加工、利用等全产业链开发，发展成型燃料、食用菌基质、人造板材等产业。加快推进秸秆饲料化利用，鼓励专业化生产服务组织收储加工生产饲料产品，提升饲用价值和利用率。</w:t>
            </w:r>
          </w:p>
          <w:p w14:paraId="0E1E60FE">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3.加强畜禽粪污综合处理。</w:t>
            </w:r>
            <w:r>
              <w:rPr>
                <w:rFonts w:hint="eastAsia" w:ascii="Times New Roman"/>
                <w:b w:val="0"/>
                <w:bCs w:val="0"/>
                <w:color w:val="auto"/>
                <w:sz w:val="21"/>
                <w:szCs w:val="21"/>
                <w:highlight w:val="none"/>
                <w:lang w:val="en-US" w:eastAsia="zh-CN" w:bidi="ar"/>
              </w:rPr>
              <w:t>支持畜禽养殖场（户）建设和改造提升粪污处理设施设备，配套完善田间贮存池、输送管网等，集成推广畜禽粪肥还田利用技术模式。以肥料化利用为基础，开展绿色种养循环农业试点，支持经无害化处理的粪肥、沼液作为肥料就近就地还田利用，提升耕地地力水平和农作物品质，推动畜禽粪污由“治”到“用”转变。</w:t>
            </w:r>
          </w:p>
          <w:p w14:paraId="42C838EC">
            <w:pPr>
              <w:pStyle w:val="19"/>
              <w:spacing w:line="360" w:lineRule="auto"/>
              <w:ind w:firstLine="422"/>
              <w:rPr>
                <w:rFonts w:hint="default"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4.健全</w:t>
            </w:r>
            <w:r>
              <w:rPr>
                <w:rFonts w:hint="default" w:ascii="Times New Roman"/>
                <w:b/>
                <w:bCs/>
                <w:color w:val="auto"/>
                <w:sz w:val="21"/>
                <w:szCs w:val="21"/>
                <w:highlight w:val="none"/>
                <w:lang w:val="en-US" w:eastAsia="zh-CN" w:bidi="ar"/>
              </w:rPr>
              <w:t>“两废”回收处置</w:t>
            </w:r>
            <w:r>
              <w:rPr>
                <w:rFonts w:hint="eastAsia" w:ascii="Times New Roman"/>
                <w:b/>
                <w:bCs/>
                <w:color w:val="auto"/>
                <w:sz w:val="21"/>
                <w:szCs w:val="21"/>
                <w:highlight w:val="none"/>
                <w:lang w:val="en-US" w:eastAsia="zh-CN" w:bidi="ar"/>
              </w:rPr>
              <w:t>体系。</w:t>
            </w:r>
            <w:r>
              <w:rPr>
                <w:rFonts w:hint="eastAsia" w:ascii="Times New Roman"/>
                <w:b w:val="0"/>
                <w:bCs w:val="0"/>
                <w:color w:val="auto"/>
                <w:sz w:val="21"/>
                <w:szCs w:val="21"/>
                <w:highlight w:val="none"/>
                <w:lang w:val="en-US" w:eastAsia="zh-CN" w:bidi="ar"/>
              </w:rPr>
              <w:t>以“回收网络化、管理数字化、利用资源化、处置无害化”为方向，构建市（区）、镇（街道）、村三级回收网络，形成“回收-处置-监管”农业包装废弃物闭环。强化源头减量与科学使用，</w:t>
            </w:r>
            <w:r>
              <w:rPr>
                <w:rFonts w:hint="default" w:ascii="Times New Roman"/>
                <w:b w:val="0"/>
                <w:bCs w:val="0"/>
                <w:color w:val="auto"/>
                <w:sz w:val="21"/>
                <w:szCs w:val="21"/>
                <w:highlight w:val="none"/>
                <w:lang w:val="en-US" w:eastAsia="zh-CN" w:bidi="ar"/>
              </w:rPr>
              <w:t>科学推进加厚高强度地膜使用，有序推广全生物降解地膜</w:t>
            </w:r>
            <w:r>
              <w:rPr>
                <w:rFonts w:hint="eastAsia" w:ascii="Times New Roman"/>
                <w:b w:val="0"/>
                <w:bCs w:val="0"/>
                <w:color w:val="auto"/>
                <w:sz w:val="21"/>
                <w:szCs w:val="21"/>
                <w:highlight w:val="none"/>
                <w:lang w:val="en-US" w:eastAsia="zh-CN" w:bidi="ar"/>
              </w:rPr>
              <w:t>，加快构建废旧地膜污染治理长效机制。</w:t>
            </w:r>
          </w:p>
        </w:tc>
      </w:tr>
    </w:tbl>
    <w:p w14:paraId="187DD748">
      <w:pPr>
        <w:pStyle w:val="4"/>
        <w:rPr>
          <w:rFonts w:hint="default"/>
          <w:highlight w:val="none"/>
          <w:lang w:val="en-US" w:eastAsia="zh-CN"/>
        </w:rPr>
      </w:pPr>
      <w:bookmarkStart w:id="50" w:name="_Toc7025"/>
      <w:bookmarkStart w:id="51" w:name="_Toc10158"/>
      <w:bookmarkStart w:id="52" w:name="_Toc26012"/>
      <w:bookmarkStart w:id="53" w:name="_Toc29010"/>
      <w:r>
        <w:rPr>
          <w:rFonts w:hint="eastAsia"/>
          <w:highlight w:val="none"/>
          <w:lang w:val="en-US" w:eastAsia="zh-CN"/>
        </w:rPr>
        <w:t>第二节 提升农业发展质效水平</w:t>
      </w:r>
      <w:bookmarkEnd w:id="50"/>
      <w:bookmarkEnd w:id="51"/>
      <w:bookmarkEnd w:id="52"/>
      <w:bookmarkEnd w:id="53"/>
    </w:p>
    <w:p w14:paraId="0A665C87">
      <w:pPr>
        <w:pStyle w:val="19"/>
        <w:spacing w:line="360" w:lineRule="auto"/>
        <w:ind w:firstLine="643" w:firstLineChars="200"/>
        <w:rPr>
          <w:rFonts w:hint="eastAsia"/>
          <w:b w:val="0"/>
          <w:bCs w:val="0"/>
          <w:color w:val="auto"/>
          <w:sz w:val="32"/>
          <w:lang w:val="en-US" w:eastAsia="zh-CN"/>
        </w:rPr>
      </w:pPr>
      <w:r>
        <w:rPr>
          <w:rFonts w:hint="eastAsia"/>
          <w:b/>
          <w:bCs/>
          <w:color w:val="auto"/>
          <w:sz w:val="32"/>
          <w:lang w:val="en-US" w:eastAsia="zh-CN"/>
        </w:rPr>
        <w:t>盘活闲置低效设施农用地。</w:t>
      </w:r>
      <w:r>
        <w:rPr>
          <w:rFonts w:hint="eastAsia"/>
          <w:b w:val="0"/>
          <w:bCs w:val="0"/>
          <w:color w:val="auto"/>
          <w:sz w:val="32"/>
          <w:lang w:val="en-US" w:eastAsia="zh-CN"/>
        </w:rPr>
        <w:t>对全区现有农业设施农用地进行排查梳理，科学分类施策，按照“</w:t>
      </w:r>
      <w:r>
        <w:rPr>
          <w:rStyle w:val="16"/>
          <w:rFonts w:hint="eastAsia" w:ascii="Times New Roman" w:hAnsi="Times New Roman" w:eastAsia="仿宋" w:cs="Times New Roman"/>
          <w:b w:val="0"/>
          <w:bCs w:val="0"/>
          <w:i w:val="0"/>
          <w:iCs w:val="0"/>
          <w:caps w:val="0"/>
          <w:color w:val="auto"/>
          <w:spacing w:val="0"/>
          <w:sz w:val="32"/>
          <w:szCs w:val="22"/>
          <w:shd w:val="clear" w:fill="FFFFFF"/>
        </w:rPr>
        <w:t>升级改造一批</w:t>
      </w:r>
      <w:r>
        <w:rPr>
          <w:rStyle w:val="16"/>
          <w:rFonts w:hint="eastAsia" w:cs="Times New Roman"/>
          <w:b w:val="0"/>
          <w:bCs w:val="0"/>
          <w:i w:val="0"/>
          <w:iCs w:val="0"/>
          <w:caps w:val="0"/>
          <w:color w:val="auto"/>
          <w:spacing w:val="0"/>
          <w:sz w:val="32"/>
          <w:szCs w:val="22"/>
          <w:shd w:val="clear" w:fill="FFFFFF"/>
          <w:lang w:eastAsia="zh-CN"/>
        </w:rPr>
        <w:t>、整合流转一批、退出复垦一批”</w:t>
      </w:r>
      <w:r>
        <w:rPr>
          <w:rStyle w:val="16"/>
          <w:rFonts w:hint="eastAsia" w:cs="Times New Roman"/>
          <w:b w:val="0"/>
          <w:bCs w:val="0"/>
          <w:i w:val="0"/>
          <w:iCs w:val="0"/>
          <w:caps w:val="0"/>
          <w:color w:val="auto"/>
          <w:spacing w:val="0"/>
          <w:sz w:val="32"/>
          <w:szCs w:val="22"/>
          <w:shd w:val="clear" w:fill="FFFFFF"/>
          <w:lang w:val="en-US" w:eastAsia="zh-CN"/>
        </w:rPr>
        <w:t>的思路，</w:t>
      </w:r>
      <w:r>
        <w:rPr>
          <w:rFonts w:hint="eastAsia"/>
          <w:b w:val="0"/>
          <w:bCs w:val="0"/>
          <w:color w:val="auto"/>
          <w:sz w:val="32"/>
          <w:lang w:val="en-US" w:eastAsia="zh-CN"/>
        </w:rPr>
        <w:t>引导设施农用地多元化盘活。对设施老旧、业态单一、效益偏低的进行现代化改造，发展智能温室、立体栽培、工厂化水产养殖等高质量设施农业项目，支持苏陈镇联动好润集团，对全镇废弃养猪场进行改造升级，发展智慧设施渔业养殖；对地块破碎、权属分散、连片潜力大的，通过市场化流转实现集中利用，引进有实力的经营主体开展规模化、专业化运营；对严重违规、无法改造利用且无其他适宜用途的，坚决依法依规退出，恢复农业种植条件或进行生态修复。</w:t>
      </w:r>
    </w:p>
    <w:p w14:paraId="1D1F9A13">
      <w:pPr>
        <w:pStyle w:val="19"/>
        <w:spacing w:line="360" w:lineRule="auto"/>
        <w:ind w:firstLine="643" w:firstLineChars="200"/>
        <w:rPr>
          <w:rFonts w:hint="eastAsia" w:ascii="Times New Roman" w:hAnsi="Times New Roman" w:cs="Times New Roman"/>
          <w:color w:val="auto"/>
          <w:kern w:val="2"/>
          <w:sz w:val="32"/>
          <w:szCs w:val="22"/>
          <w:highlight w:val="none"/>
          <w:lang w:bidi="ar"/>
        </w:rPr>
      </w:pPr>
      <w:r>
        <w:rPr>
          <w:rFonts w:hint="eastAsia" w:ascii="Times New Roman" w:hAnsi="Times New Roman" w:cs="Times New Roman"/>
          <w:b/>
          <w:bCs/>
          <w:color w:val="auto"/>
          <w:kern w:val="2"/>
          <w:sz w:val="32"/>
          <w:szCs w:val="22"/>
          <w:highlight w:val="none"/>
          <w:lang w:val="en-US" w:eastAsia="zh-CN"/>
        </w:rPr>
        <w:t>促进农业产业提质增效。</w:t>
      </w:r>
      <w:r>
        <w:rPr>
          <w:rFonts w:hint="eastAsia" w:ascii="Times New Roman" w:hAnsi="Times New Roman" w:cs="Times New Roman"/>
          <w:b w:val="0"/>
          <w:bCs w:val="0"/>
          <w:color w:val="auto"/>
          <w:kern w:val="2"/>
          <w:sz w:val="32"/>
          <w:szCs w:val="22"/>
          <w:highlight w:val="none"/>
          <w:lang w:val="en-US" w:eastAsia="zh-CN" w:bidi="ar"/>
        </w:rPr>
        <w:t>围绕优质稻米、绿色果蔬等主导产业，加快</w:t>
      </w:r>
      <w:r>
        <w:rPr>
          <w:rFonts w:hint="eastAsia" w:ascii="Times New Roman" w:hAnsi="Times New Roman" w:eastAsia="仿宋" w:cs="Times New Roman"/>
          <w:i w:val="0"/>
          <w:iCs w:val="0"/>
          <w:caps w:val="0"/>
          <w:color w:val="auto"/>
          <w:spacing w:val="0"/>
          <w:kern w:val="2"/>
          <w:sz w:val="32"/>
          <w:szCs w:val="22"/>
          <w:highlight w:val="none"/>
          <w:shd w:val="clear" w:fill="auto"/>
        </w:rPr>
        <w:t>构建</w:t>
      </w:r>
      <w:r>
        <w:rPr>
          <w:rStyle w:val="16"/>
          <w:rFonts w:hint="eastAsia" w:ascii="Times New Roman" w:hAnsi="Times New Roman" w:eastAsia="仿宋" w:cs="Times New Roman"/>
          <w:b w:val="0"/>
          <w:bCs w:val="0"/>
          <w:i w:val="0"/>
          <w:iCs w:val="0"/>
          <w:caps w:val="0"/>
          <w:color w:val="auto"/>
          <w:spacing w:val="0"/>
          <w:kern w:val="2"/>
          <w:sz w:val="32"/>
          <w:szCs w:val="22"/>
          <w:highlight w:val="none"/>
          <w:shd w:val="clear" w:fill="FFFFFF"/>
        </w:rPr>
        <w:t>“科技引领、绿色导向、融合驱动、品牌赋能”</w:t>
      </w:r>
      <w:r>
        <w:rPr>
          <w:rFonts w:hint="eastAsia" w:ascii="Times New Roman" w:hAnsi="Times New Roman" w:eastAsia="仿宋" w:cs="Times New Roman"/>
          <w:i w:val="0"/>
          <w:iCs w:val="0"/>
          <w:caps w:val="0"/>
          <w:color w:val="auto"/>
          <w:spacing w:val="0"/>
          <w:kern w:val="2"/>
          <w:sz w:val="32"/>
          <w:szCs w:val="22"/>
          <w:highlight w:val="none"/>
          <w:shd w:val="clear" w:fill="auto"/>
        </w:rPr>
        <w:t>的都市</w:t>
      </w:r>
      <w:r>
        <w:rPr>
          <w:rFonts w:hint="eastAsia" w:ascii="Times New Roman" w:hAnsi="Times New Roman" w:cs="Times New Roman"/>
          <w:i w:val="0"/>
          <w:iCs w:val="0"/>
          <w:caps w:val="0"/>
          <w:color w:val="auto"/>
          <w:spacing w:val="0"/>
          <w:kern w:val="2"/>
          <w:sz w:val="32"/>
          <w:szCs w:val="22"/>
          <w:highlight w:val="none"/>
          <w:shd w:val="clear" w:fill="auto"/>
          <w:lang w:val="en-US" w:eastAsia="zh-CN"/>
        </w:rPr>
        <w:t>现代</w:t>
      </w:r>
      <w:r>
        <w:rPr>
          <w:rFonts w:hint="eastAsia" w:ascii="Times New Roman" w:hAnsi="Times New Roman" w:eastAsia="仿宋" w:cs="Times New Roman"/>
          <w:i w:val="0"/>
          <w:iCs w:val="0"/>
          <w:caps w:val="0"/>
          <w:color w:val="auto"/>
          <w:spacing w:val="0"/>
          <w:kern w:val="2"/>
          <w:sz w:val="32"/>
          <w:szCs w:val="22"/>
          <w:highlight w:val="none"/>
          <w:shd w:val="clear" w:fill="auto"/>
        </w:rPr>
        <w:t>农业发展体系</w:t>
      </w:r>
      <w:r>
        <w:rPr>
          <w:rFonts w:hint="eastAsia" w:ascii="Times New Roman" w:hAnsi="Times New Roman" w:cs="Times New Roman"/>
          <w:i w:val="0"/>
          <w:iCs w:val="0"/>
          <w:caps w:val="0"/>
          <w:color w:val="auto"/>
          <w:spacing w:val="0"/>
          <w:kern w:val="2"/>
          <w:sz w:val="32"/>
          <w:szCs w:val="22"/>
          <w:highlight w:val="none"/>
          <w:shd w:val="clear"/>
          <w:lang w:eastAsia="zh-CN"/>
        </w:rPr>
        <w:t>，</w:t>
      </w:r>
      <w:r>
        <w:rPr>
          <w:rFonts w:hint="eastAsia" w:ascii="Times New Roman" w:hAnsi="Times New Roman" w:cs="Times New Roman"/>
          <w:b w:val="0"/>
          <w:bCs w:val="0"/>
          <w:color w:val="auto"/>
          <w:kern w:val="2"/>
          <w:sz w:val="32"/>
          <w:szCs w:val="22"/>
          <w:highlight w:val="none"/>
          <w:lang w:val="en-US" w:eastAsia="zh-CN"/>
        </w:rPr>
        <w:t>推进产业全面提质升级。</w:t>
      </w:r>
      <w:r>
        <w:rPr>
          <w:rStyle w:val="16"/>
          <w:rFonts w:hint="eastAsia" w:ascii="Times New Roman" w:hAnsi="Times New Roman" w:eastAsia="仿宋" w:cs="Times New Roman"/>
          <w:b w:val="0"/>
          <w:bCs w:val="0"/>
          <w:caps w:val="0"/>
          <w:color w:val="auto"/>
          <w:spacing w:val="0"/>
          <w:kern w:val="2"/>
          <w:sz w:val="32"/>
          <w:szCs w:val="22"/>
          <w:highlight w:val="none"/>
          <w:shd w:val="clear" w:fill="FFFFFF"/>
          <w:lang w:bidi="ar"/>
        </w:rPr>
        <w:t>强化科技</w:t>
      </w:r>
      <w:r>
        <w:rPr>
          <w:rStyle w:val="16"/>
          <w:rFonts w:hint="eastAsia" w:ascii="Times New Roman" w:hAnsi="Times New Roman" w:cs="Times New Roman"/>
          <w:b w:val="0"/>
          <w:bCs w:val="0"/>
          <w:caps w:val="0"/>
          <w:color w:val="auto"/>
          <w:spacing w:val="0"/>
          <w:kern w:val="2"/>
          <w:sz w:val="32"/>
          <w:szCs w:val="22"/>
          <w:highlight w:val="none"/>
          <w:shd w:val="clear" w:fill="FFFFFF"/>
          <w:lang w:eastAsia="zh-CN" w:bidi="ar"/>
        </w:rPr>
        <w:t>支撑</w:t>
      </w:r>
      <w:r>
        <w:rPr>
          <w:rStyle w:val="16"/>
          <w:rFonts w:hint="eastAsia" w:ascii="Times New Roman" w:hAnsi="Times New Roman" w:eastAsia="仿宋" w:cs="Times New Roman"/>
          <w:b w:val="0"/>
          <w:bCs w:val="0"/>
          <w:caps w:val="0"/>
          <w:color w:val="auto"/>
          <w:spacing w:val="0"/>
          <w:kern w:val="2"/>
          <w:sz w:val="32"/>
          <w:szCs w:val="22"/>
          <w:highlight w:val="none"/>
          <w:shd w:val="clear" w:fill="FFFFFF"/>
          <w:lang w:bidi="ar"/>
        </w:rPr>
        <w:t>，</w:t>
      </w:r>
      <w:r>
        <w:rPr>
          <w:rStyle w:val="16"/>
          <w:rFonts w:hint="eastAsia" w:ascii="Times New Roman" w:hAnsi="Times New Roman" w:cs="Times New Roman"/>
          <w:b w:val="0"/>
          <w:bCs w:val="0"/>
          <w:caps w:val="0"/>
          <w:color w:val="auto"/>
          <w:spacing w:val="0"/>
          <w:kern w:val="2"/>
          <w:sz w:val="32"/>
          <w:szCs w:val="22"/>
          <w:highlight w:val="none"/>
          <w:shd w:val="clear" w:fill="FFFFFF"/>
          <w:lang w:eastAsia="zh-CN" w:bidi="ar"/>
        </w:rPr>
        <w:t>深化</w:t>
      </w:r>
      <w:r>
        <w:rPr>
          <w:rStyle w:val="16"/>
          <w:rFonts w:hint="eastAsia" w:ascii="Times New Roman" w:hAnsi="Times New Roman" w:cs="Times New Roman"/>
          <w:b w:val="0"/>
          <w:bCs w:val="0"/>
          <w:caps w:val="0"/>
          <w:color w:val="auto"/>
          <w:spacing w:val="0"/>
          <w:kern w:val="2"/>
          <w:sz w:val="32"/>
          <w:szCs w:val="22"/>
          <w:highlight w:val="none"/>
          <w:shd w:val="clear" w:fill="FFFFFF"/>
          <w:lang w:val="en-US" w:eastAsia="zh-CN" w:bidi="ar"/>
        </w:rPr>
        <w:t>与</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涉农</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高校、科研院所</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合作，</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聚焦</w:t>
      </w:r>
      <w:r>
        <w:rPr>
          <w:rFonts w:hint="eastAsia" w:ascii="Times New Roman" w:hAnsi="Times New Roman" w:eastAsia="仿宋" w:cs="Times New Roman"/>
          <w:b w:val="0"/>
          <w:bCs w:val="0"/>
          <w:i w:val="0"/>
          <w:iCs w:val="0"/>
          <w:caps w:val="0"/>
          <w:color w:val="auto"/>
          <w:spacing w:val="0"/>
          <w:kern w:val="2"/>
          <w:sz w:val="32"/>
          <w:szCs w:val="22"/>
          <w:highlight w:val="none"/>
          <w:shd w:val="clear"/>
          <w:lang w:val="en-US" w:eastAsia="zh-CN" w:bidi="ar"/>
        </w:rPr>
        <w:t>新品种、新技术、新模式、新装备</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开展</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联合</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攻关</w:t>
      </w:r>
      <w:r>
        <w:rPr>
          <w:rFonts w:hint="eastAsia" w:ascii="Times New Roman" w:hAnsi="Times New Roman" w:cs="Times New Roman"/>
          <w:b w:val="0"/>
          <w:bCs w:val="0"/>
          <w:i w:val="0"/>
          <w:iCs w:val="0"/>
          <w:caps w:val="0"/>
          <w:color w:val="auto"/>
          <w:spacing w:val="0"/>
          <w:kern w:val="2"/>
          <w:sz w:val="32"/>
          <w:szCs w:val="22"/>
          <w:highlight w:val="none"/>
          <w:shd w:val="clear"/>
          <w:lang w:eastAsia="zh-CN" w:bidi="ar"/>
        </w:rPr>
        <w:t>，</w:t>
      </w:r>
      <w:r>
        <w:rPr>
          <w:rFonts w:hint="eastAsia" w:ascii="Times New Roman" w:hAnsi="Times New Roman" w:cs="Times New Roman"/>
          <w:b w:val="0"/>
          <w:bCs w:val="0"/>
          <w:i w:val="0"/>
          <w:iCs w:val="0"/>
          <w:caps w:val="0"/>
          <w:color w:val="auto"/>
          <w:spacing w:val="0"/>
          <w:kern w:val="2"/>
          <w:sz w:val="32"/>
          <w:szCs w:val="22"/>
          <w:highlight w:val="none"/>
          <w:shd w:val="clear"/>
          <w:lang w:val="en-US" w:eastAsia="zh-CN" w:bidi="ar"/>
        </w:rPr>
        <w:t>提升产业核心竞争力</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。延伸产业链条</w:t>
      </w:r>
      <w:r>
        <w:rPr>
          <w:rFonts w:hint="eastAsia" w:ascii="Times New Roman" w:hAnsi="Times New Roman" w:cs="Times New Roman"/>
          <w:b w:val="0"/>
          <w:bCs w:val="0"/>
          <w:i w:val="0"/>
          <w:iCs w:val="0"/>
          <w:caps w:val="0"/>
          <w:color w:val="auto"/>
          <w:spacing w:val="0"/>
          <w:kern w:val="2"/>
          <w:sz w:val="32"/>
          <w:szCs w:val="22"/>
          <w:highlight w:val="none"/>
          <w:shd w:val="clear" w:fill="FFFFFF"/>
          <w:lang w:eastAsia="zh-CN" w:bidi="ar"/>
        </w:rPr>
        <w:t>，</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发展稻米加工、净菜加工配送、果汁饮</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品</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、花卉精深加工等</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业态</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，支持龙头企业</w:t>
      </w:r>
      <w:r>
        <w:rPr>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建设</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全产业链</w:t>
      </w:r>
      <w:r>
        <w:rPr>
          <w:rFonts w:hint="eastAsia" w:ascii="Times New Roman" w:hAnsi="Times New Roman" w:cs="Times New Roman"/>
          <w:b w:val="0"/>
          <w:bCs w:val="0"/>
          <w:i w:val="0"/>
          <w:iCs w:val="0"/>
          <w:caps w:val="0"/>
          <w:color w:val="auto"/>
          <w:spacing w:val="0"/>
          <w:kern w:val="2"/>
          <w:sz w:val="32"/>
          <w:szCs w:val="22"/>
          <w:highlight w:val="none"/>
          <w:shd w:val="clear" w:fill="FFFFFF"/>
          <w:lang w:eastAsia="zh-CN" w:bidi="ar"/>
        </w:rPr>
        <w:t>，</w:t>
      </w:r>
      <w:r>
        <w:rPr>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推动三产深度融合。</w:t>
      </w:r>
      <w:r>
        <w:rPr>
          <w:rFonts w:hint="eastAsia" w:ascii="Times New Roman" w:hAnsi="Times New Roman" w:cs="Times New Roman"/>
          <w:i w:val="0"/>
          <w:iCs w:val="0"/>
          <w:caps w:val="0"/>
          <w:color w:val="auto"/>
          <w:spacing w:val="0"/>
          <w:kern w:val="2"/>
          <w:sz w:val="32"/>
          <w:szCs w:val="22"/>
          <w:highlight w:val="none"/>
          <w:shd w:val="clear" w:fill="FFFFFF"/>
          <w:lang w:eastAsia="zh-CN" w:bidi="ar"/>
        </w:rPr>
        <w:t>完善联农带农机制，</w:t>
      </w:r>
      <w:r>
        <w:rPr>
          <w:rFonts w:hint="eastAsia" w:ascii="Times New Roman" w:hAnsi="Times New Roman" w:eastAsia="仿宋" w:cs="Times New Roman"/>
          <w:i w:val="0"/>
          <w:iCs w:val="0"/>
          <w:caps w:val="0"/>
          <w:color w:val="auto"/>
          <w:spacing w:val="0"/>
          <w:kern w:val="2"/>
          <w:sz w:val="32"/>
          <w:szCs w:val="22"/>
          <w:highlight w:val="none"/>
          <w:shd w:val="clear" w:fill="FFFFFF"/>
          <w:lang w:bidi="ar"/>
        </w:rPr>
        <w:t>鼓励合作社</w:t>
      </w:r>
      <w:r>
        <w:rPr>
          <w:rFonts w:hint="eastAsia" w:ascii="Times New Roman" w:hAnsi="Times New Roman" w:cs="Times New Roman"/>
          <w:i w:val="0"/>
          <w:iCs w:val="0"/>
          <w:caps w:val="0"/>
          <w:color w:val="auto"/>
          <w:spacing w:val="0"/>
          <w:kern w:val="2"/>
          <w:sz w:val="32"/>
          <w:szCs w:val="22"/>
          <w:highlight w:val="none"/>
          <w:shd w:val="clear" w:fill="FFFFFF"/>
          <w:lang w:val="en-US" w:eastAsia="zh-CN" w:bidi="ar"/>
        </w:rPr>
        <w:t>为小农户提供</w:t>
      </w:r>
      <w:r>
        <w:rPr>
          <w:rStyle w:val="16"/>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统一育苗、加工、销售</w:t>
      </w:r>
      <w:r>
        <w:rPr>
          <w:rStyle w:val="16"/>
          <w:rFonts w:hint="eastAsia" w:ascii="Times New Roman" w:hAnsi="Times New Roman" w:cs="Times New Roman"/>
          <w:b w:val="0"/>
          <w:bCs w:val="0"/>
          <w:i w:val="0"/>
          <w:iCs w:val="0"/>
          <w:caps w:val="0"/>
          <w:color w:val="auto"/>
          <w:spacing w:val="0"/>
          <w:kern w:val="2"/>
          <w:sz w:val="32"/>
          <w:szCs w:val="22"/>
          <w:highlight w:val="none"/>
          <w:shd w:val="clear" w:fill="FFFFFF"/>
          <w:lang w:val="en-US" w:eastAsia="zh-CN" w:bidi="ar"/>
        </w:rPr>
        <w:t>等</w:t>
      </w:r>
      <w:r>
        <w:rPr>
          <w:rFonts w:hint="eastAsia" w:ascii="Times New Roman" w:hAnsi="Times New Roman" w:eastAsia="仿宋" w:cs="Times New Roman"/>
          <w:i w:val="0"/>
          <w:iCs w:val="0"/>
          <w:caps w:val="0"/>
          <w:color w:val="auto"/>
          <w:spacing w:val="0"/>
          <w:kern w:val="2"/>
          <w:sz w:val="32"/>
          <w:szCs w:val="22"/>
          <w:highlight w:val="none"/>
          <w:shd w:val="clear" w:fill="FFFFFF"/>
          <w:lang w:bidi="ar"/>
        </w:rPr>
        <w:t>服务</w:t>
      </w:r>
      <w:r>
        <w:rPr>
          <w:rFonts w:hint="eastAsia" w:ascii="Times New Roman" w:hAnsi="Times New Roman" w:cs="Times New Roman"/>
          <w:i w:val="0"/>
          <w:iCs w:val="0"/>
          <w:caps w:val="0"/>
          <w:color w:val="auto"/>
          <w:spacing w:val="0"/>
          <w:kern w:val="2"/>
          <w:sz w:val="32"/>
          <w:szCs w:val="22"/>
          <w:highlight w:val="none"/>
          <w:shd w:val="clear" w:fill="FFFFFF"/>
          <w:lang w:eastAsia="zh-CN" w:bidi="ar"/>
        </w:rPr>
        <w:t>。</w:t>
      </w:r>
      <w:r>
        <w:rPr>
          <w:rStyle w:val="16"/>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创新利益联结</w:t>
      </w:r>
      <w:r>
        <w:rPr>
          <w:rFonts w:hint="eastAsia" w:ascii="Times New Roman" w:hAnsi="Times New Roman" w:cs="Times New Roman"/>
          <w:b w:val="0"/>
          <w:bCs w:val="0"/>
          <w:i w:val="0"/>
          <w:iCs w:val="0"/>
          <w:caps w:val="0"/>
          <w:color w:val="auto"/>
          <w:spacing w:val="0"/>
          <w:kern w:val="2"/>
          <w:sz w:val="32"/>
          <w:szCs w:val="22"/>
          <w:highlight w:val="none"/>
          <w:shd w:val="clear"/>
          <w:lang w:eastAsia="zh-CN" w:bidi="ar"/>
        </w:rPr>
        <w:t>，</w:t>
      </w:r>
      <w:r>
        <w:rPr>
          <w:rFonts w:hint="eastAsia" w:ascii="Times New Roman" w:hAnsi="Times New Roman" w:eastAsia="仿宋" w:cs="Times New Roman"/>
          <w:i w:val="0"/>
          <w:iCs w:val="0"/>
          <w:caps w:val="0"/>
          <w:color w:val="auto"/>
          <w:spacing w:val="0"/>
          <w:kern w:val="2"/>
          <w:sz w:val="32"/>
          <w:szCs w:val="22"/>
          <w:highlight w:val="none"/>
          <w:shd w:val="clear" w:fill="FFFFFF"/>
          <w:lang w:bidi="ar"/>
        </w:rPr>
        <w:t>推广</w:t>
      </w:r>
      <w:r>
        <w:rPr>
          <w:rStyle w:val="16"/>
          <w:rFonts w:hint="eastAsia" w:ascii="Times New Roman" w:hAnsi="Times New Roman" w:eastAsia="仿宋" w:cs="Times New Roman"/>
          <w:b w:val="0"/>
          <w:bCs w:val="0"/>
          <w:i w:val="0"/>
          <w:iCs w:val="0"/>
          <w:caps w:val="0"/>
          <w:color w:val="auto"/>
          <w:spacing w:val="0"/>
          <w:kern w:val="2"/>
          <w:sz w:val="32"/>
          <w:szCs w:val="22"/>
          <w:highlight w:val="none"/>
          <w:shd w:val="clear" w:fill="FFFFFF"/>
          <w:lang w:bidi="ar"/>
        </w:rPr>
        <w:t>“保底收益+二次分红”“土地入股+订单农业”</w:t>
      </w:r>
      <w:r>
        <w:rPr>
          <w:rFonts w:hint="eastAsia" w:ascii="Times New Roman" w:hAnsi="Times New Roman" w:eastAsia="仿宋" w:cs="Times New Roman"/>
          <w:i w:val="0"/>
          <w:iCs w:val="0"/>
          <w:caps w:val="0"/>
          <w:color w:val="auto"/>
          <w:spacing w:val="0"/>
          <w:kern w:val="2"/>
          <w:sz w:val="32"/>
          <w:szCs w:val="22"/>
          <w:highlight w:val="none"/>
          <w:shd w:val="clear" w:fill="FFFFFF"/>
          <w:lang w:bidi="ar"/>
        </w:rPr>
        <w:t>等模式，让农民</w:t>
      </w:r>
      <w:r>
        <w:rPr>
          <w:rFonts w:hint="eastAsia" w:ascii="Times New Roman" w:hAnsi="Times New Roman" w:cs="Times New Roman"/>
          <w:i w:val="0"/>
          <w:iCs w:val="0"/>
          <w:caps w:val="0"/>
          <w:color w:val="auto"/>
          <w:spacing w:val="0"/>
          <w:kern w:val="2"/>
          <w:sz w:val="32"/>
          <w:szCs w:val="22"/>
          <w:highlight w:val="none"/>
          <w:shd w:val="clear" w:fill="FFFFFF"/>
          <w:lang w:val="en-US" w:eastAsia="zh-CN" w:bidi="ar"/>
        </w:rPr>
        <w:t>更多</w:t>
      </w:r>
      <w:r>
        <w:rPr>
          <w:rFonts w:hint="eastAsia" w:ascii="Times New Roman" w:hAnsi="Times New Roman" w:eastAsia="仿宋" w:cs="Times New Roman"/>
          <w:i w:val="0"/>
          <w:iCs w:val="0"/>
          <w:caps w:val="0"/>
          <w:color w:val="auto"/>
          <w:spacing w:val="0"/>
          <w:kern w:val="2"/>
          <w:sz w:val="32"/>
          <w:szCs w:val="22"/>
          <w:highlight w:val="none"/>
          <w:shd w:val="clear" w:fill="FFFFFF"/>
          <w:lang w:bidi="ar"/>
        </w:rPr>
        <w:t>分享产业增值收益。</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787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95B0FAC">
            <w:pPr>
              <w:widowControl w:val="0"/>
              <w:ind w:firstLine="0" w:firstLineChars="0"/>
              <w:jc w:val="center"/>
              <w:rPr>
                <w:rFonts w:hint="eastAsia" w:cs="Times New Roman"/>
                <w:b/>
                <w:bCs/>
                <w:color w:val="auto"/>
                <w:sz w:val="21"/>
                <w:szCs w:val="21"/>
                <w:highlight w:val="none"/>
                <w:lang w:val="en-US" w:eastAsia="zh-CN"/>
              </w:rPr>
            </w:pPr>
            <w:r>
              <w:rPr>
                <w:rFonts w:hint="eastAsia" w:ascii="Times New Roman" w:eastAsia="仿宋"/>
                <w:b/>
                <w:bCs/>
                <w:color w:val="auto"/>
                <w:sz w:val="21"/>
                <w:szCs w:val="21"/>
                <w:highlight w:val="none"/>
                <w:lang w:val="en-US" w:eastAsia="zh-CN"/>
              </w:rPr>
              <w:t>专栏</w:t>
            </w:r>
            <w:r>
              <w:rPr>
                <w:rFonts w:hint="eastAsia"/>
                <w:b/>
                <w:bCs/>
                <w:color w:val="auto"/>
                <w:sz w:val="21"/>
                <w:szCs w:val="21"/>
                <w:highlight w:val="none"/>
                <w:lang w:val="en-US" w:eastAsia="zh-CN"/>
              </w:rPr>
              <w:t>二</w:t>
            </w:r>
            <w:r>
              <w:rPr>
                <w:rFonts w:hint="eastAsia" w:ascii="Times New Roman" w:hAnsi="Times New Roman"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提升农业产业质量与效益</w:t>
            </w:r>
          </w:p>
          <w:p w14:paraId="12731739">
            <w:pPr>
              <w:widowControl w:val="0"/>
              <w:ind w:firstLine="0"/>
              <w:rPr>
                <w:rFonts w:hint="default" w:ascii="Times New Roman"/>
                <w:b w:val="0"/>
                <w:bCs w:val="0"/>
                <w:color w:val="auto"/>
                <w:sz w:val="21"/>
                <w:szCs w:val="21"/>
                <w:highlight w:val="none"/>
                <w:lang w:val="en-US" w:eastAsia="zh-CN" w:bidi="ar"/>
              </w:rPr>
            </w:pPr>
            <w:r>
              <w:rPr>
                <w:rFonts w:hint="eastAsia" w:ascii="Times New Roman"/>
                <w:b w:val="0"/>
                <w:bCs w:val="0"/>
                <w:color w:val="auto"/>
                <w:sz w:val="21"/>
                <w:szCs w:val="21"/>
                <w:highlight w:val="none"/>
                <w:lang w:val="en-US" w:eastAsia="zh-CN" w:bidi="ar"/>
              </w:rPr>
              <w:t>充分发挥紧邻主城消费市场、区位交通便捷、科技资源集聚等优势，推动优质稻米、绿色果蔬、精品花卉、经济林果、特色渔业等产业提档升级，提升农业产业发展质量和效益。</w:t>
            </w:r>
          </w:p>
          <w:p w14:paraId="22D766E0">
            <w:pPr>
              <w:pStyle w:val="19"/>
              <w:spacing w:line="360" w:lineRule="auto"/>
              <w:ind w:firstLine="422"/>
              <w:rPr>
                <w:rFonts w:hint="default"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1.优质稻米产业。</w:t>
            </w:r>
            <w:r>
              <w:rPr>
                <w:rFonts w:hint="eastAsia" w:ascii="Times New Roman"/>
                <w:b w:val="0"/>
                <w:bCs w:val="0"/>
                <w:color w:val="auto"/>
                <w:sz w:val="21"/>
                <w:szCs w:val="21"/>
                <w:highlight w:val="none"/>
                <w:lang w:val="en-US" w:eastAsia="zh-CN" w:bidi="ar"/>
              </w:rPr>
              <w:t>以家庭农场联盟为纽带、社会化服务为支撑，强化组织引领、服务赋能、链条联动，驱动稻米产业高质量发展，促进农民稳定增收。发挥家庭农场服务联盟示范引领作用，打造一批规模化种植、标准化生产、集约化经营的优质稻米示范基地；健全农业社会化服务体系，构建“耕、种、管、收、烘、储、销”全程社会化服务网络，为经营主体提供低成本、高效率、专业化服务，提高稻米种植效益；通过土地流转、土地托管、股份合作、订单收购等方式，把分散农户纳入规模化、组织化生产体系，促进小农户与现代农业有机衔接。</w:t>
            </w:r>
          </w:p>
          <w:p w14:paraId="0197939E">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2.绿色果蔬产业。</w:t>
            </w:r>
            <w:r>
              <w:rPr>
                <w:rFonts w:hint="eastAsia" w:ascii="Times New Roman"/>
                <w:b w:val="0"/>
                <w:bCs w:val="0"/>
                <w:color w:val="auto"/>
                <w:sz w:val="21"/>
                <w:szCs w:val="21"/>
                <w:highlight w:val="none"/>
                <w:lang w:val="en-US" w:eastAsia="zh-CN" w:bidi="ar"/>
              </w:rPr>
              <w:t>引进龙头企业与种植大户，通过标准化生产示范、订单农业联结，构建“龙头带动、散户联动、产销衔接”的绿色果蔬产业新格局。精准招引培育龙头企业、种植大户等经营主体，对本地潜力大户给予技术、资金倾斜，合理保障设施农用地需求，破解发展空间瓶颈；对简易老旧蔬菜大棚分批提档升级，逐步推广高标准的现代化设施，提升设施装备水平；强化生产示范引领，开展绿色标准化种植；推行“龙头企业/种植大户+合作社+小农户”的模式，通过土地流转租金、订单种植收益等多种形式，稳定带动小农户增收。</w:t>
            </w:r>
          </w:p>
          <w:p w14:paraId="0974E01F">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3.精品花卉产业。</w:t>
            </w:r>
            <w:r>
              <w:rPr>
                <w:rFonts w:hint="eastAsia" w:ascii="Times New Roman"/>
                <w:b w:val="0"/>
                <w:bCs w:val="0"/>
                <w:color w:val="auto"/>
                <w:sz w:val="21"/>
                <w:szCs w:val="21"/>
                <w:highlight w:val="none"/>
                <w:lang w:val="en-US" w:eastAsia="zh-CN" w:bidi="ar"/>
              </w:rPr>
              <w:t>立足精品花卉种植优势，做强花卉专用资材配套、开发花卉衍生文创与功能产品、稳妥发展食用花卉食品，推动花卉产业向高附加值、多元化、融合化升级。围绕红掌、蝴蝶兰等无土栽培与设施种植需求，重点发展专用基质、花泥、营养液、包装耗材、园艺工具等专用资材，降低种植成本、保障供应稳定；开发永生花、干花、压花等文创产品，依托花瓣、叶片等副产物，研发提取精油、纯露、花蜡，开发护手霜、香薰、车载香氛、面膜等轻日化产品；在安全合规前提下，研究开发鲜花饼、花卉果冻、花卉饮品、养生花茶等轻加工产品，稳妥发展花卉食品。</w:t>
            </w:r>
          </w:p>
          <w:p w14:paraId="622F3A01">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4.经济林果产业。</w:t>
            </w:r>
            <w:r>
              <w:rPr>
                <w:rFonts w:hint="eastAsia" w:ascii="Times New Roman"/>
                <w:b w:val="0"/>
                <w:bCs w:val="0"/>
                <w:color w:val="auto"/>
                <w:sz w:val="21"/>
                <w:szCs w:val="21"/>
                <w:highlight w:val="none"/>
                <w:lang w:val="en-US" w:eastAsia="zh-CN" w:bidi="ar"/>
              </w:rPr>
              <w:t>对低效林地进行分类利用，符合条件的有序还耕，其余重点发展碧根果等经济林果，推动土地高效利用与产业提质增效。对全区低效林地开展全面摸排与科学评估，对符合国土空间规划、耕地后备资源条件的，依法依规、稳妥有序实施还耕；对不具备还耕条件、生态与立地适宜的，发展以碧根果为主的经济林果，打造标准化种植示范基地，配套林下复合经营和产业链延伸，激活林地经济价值。</w:t>
            </w:r>
          </w:p>
          <w:p w14:paraId="77BF91CA">
            <w:pPr>
              <w:pStyle w:val="19"/>
              <w:spacing w:line="360" w:lineRule="auto"/>
              <w:ind w:firstLine="422"/>
              <w:rPr>
                <w:rFonts w:hint="default"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5.特色渔业产业。</w:t>
            </w:r>
            <w:r>
              <w:rPr>
                <w:rFonts w:hint="eastAsia" w:ascii="Times New Roman"/>
                <w:b w:val="0"/>
                <w:bCs w:val="0"/>
                <w:color w:val="auto"/>
                <w:sz w:val="21"/>
                <w:szCs w:val="21"/>
                <w:highlight w:val="none"/>
                <w:lang w:val="en-US" w:eastAsia="zh-CN" w:bidi="ar"/>
              </w:rPr>
              <w:t>立足现有渔光互补项目，优化水产养殖结构，配备智能化养殖设备，推动“光伏+渔业”向生态高效、智能精准、高值增收转型升级。鼓励引导经营主体发展黄鳝、甲鱼等特种水产养殖，与科研单位合作，探索标准化养殖模式；支持有条件的基地配套现代化渔业设施、设备和智能化管理系统，提升水产养殖管护水平与质量效益。</w:t>
            </w:r>
          </w:p>
        </w:tc>
      </w:tr>
    </w:tbl>
    <w:p w14:paraId="52CF9067">
      <w:pPr>
        <w:ind w:firstLine="643" w:firstLineChars="200"/>
        <w:rPr>
          <w:rFonts w:hint="eastAsia" w:ascii="Times New Roman" w:hAnsi="Times New Roman" w:eastAsia="仿宋"/>
          <w:color w:val="000000" w:themeColor="text1"/>
          <w:sz w:val="32"/>
          <w:lang w:eastAsia="zh-CN"/>
          <w14:textFill>
            <w14:solidFill>
              <w14:schemeClr w14:val="tx1"/>
            </w14:solidFill>
          </w14:textFill>
        </w:rPr>
      </w:pPr>
      <w:bookmarkStart w:id="54" w:name="_Toc29107"/>
      <w:bookmarkStart w:id="55" w:name="_Toc6951"/>
      <w:bookmarkStart w:id="56" w:name="_Toc28528"/>
      <w:r>
        <w:rPr>
          <w:rFonts w:hint="eastAsia"/>
          <w:b/>
          <w:bCs/>
          <w:color w:val="auto"/>
          <w:sz w:val="32"/>
          <w:lang w:val="en-US" w:eastAsia="zh-CN"/>
        </w:rPr>
        <w:t>推动特色农业集群发展和品牌建设。</w:t>
      </w:r>
      <w:r>
        <w:rPr>
          <w:rFonts w:hint="eastAsia"/>
          <w:b w:val="0"/>
          <w:bCs w:val="0"/>
          <w:color w:val="auto"/>
          <w:sz w:val="32"/>
          <w:lang w:val="en-US" w:eastAsia="zh-CN"/>
        </w:rPr>
        <w:t>立足现有特色产业基础，以产业集聚为核心、品牌建设为引领，加快构建布局集中、链条完整、品牌鲜明的特色产业集群新格局。优化产业空间布局，推动特色种养、加工、服务等业态连片集聚发展，通过组建产业化联合体、强化龙头企业带动等方式，构建“龙头引领、多方联动、抱团发展”的产业组织体系。</w:t>
      </w:r>
      <w:r>
        <w:rPr>
          <w:rFonts w:hint="eastAsia" w:ascii="Times New Roman" w:hAnsi="Times New Roman" w:eastAsia="仿宋"/>
          <w:color w:val="auto"/>
          <w:sz w:val="32"/>
          <w:lang w:eastAsia="zh-CN"/>
        </w:rPr>
        <w:t>突出强单品、出新品、塑名品、锻精品、献极品，探索“大而优”区域公用品牌+“小而美”企业品牌</w:t>
      </w:r>
      <w:r>
        <w:rPr>
          <w:rFonts w:hint="eastAsia"/>
          <w:color w:val="auto"/>
          <w:sz w:val="32"/>
          <w:lang w:val="en-US" w:eastAsia="zh-CN"/>
        </w:rPr>
        <w:t>协同</w:t>
      </w:r>
      <w:r>
        <w:rPr>
          <w:rFonts w:hint="eastAsia" w:ascii="Times New Roman" w:hAnsi="Times New Roman" w:eastAsia="仿宋"/>
          <w:color w:val="auto"/>
          <w:sz w:val="32"/>
          <w:lang w:eastAsia="zh-CN"/>
        </w:rPr>
        <w:t>发展模式</w:t>
      </w:r>
      <w:r>
        <w:rPr>
          <w:rFonts w:hint="eastAsia"/>
          <w:color w:val="auto"/>
          <w:sz w:val="32"/>
          <w:lang w:eastAsia="zh-CN"/>
        </w:rPr>
        <w:t>，</w:t>
      </w:r>
      <w:r>
        <w:rPr>
          <w:rFonts w:hint="eastAsia"/>
          <w:color w:val="auto"/>
          <w:sz w:val="32"/>
          <w:lang w:val="en-US" w:eastAsia="zh-CN"/>
        </w:rPr>
        <w:t>着力创建</w:t>
      </w:r>
      <w:r>
        <w:rPr>
          <w:rFonts w:hint="eastAsia" w:ascii="Times New Roman" w:hAnsi="Times New Roman" w:eastAsia="仿宋"/>
          <w:color w:val="auto"/>
          <w:sz w:val="32"/>
          <w:lang w:eastAsia="zh-CN"/>
        </w:rPr>
        <w:t>“泰</w:t>
      </w:r>
      <w:r>
        <w:rPr>
          <w:rFonts w:hint="eastAsia" w:ascii="Times New Roman" w:hAnsi="Times New Roman" w:eastAsia="仿宋"/>
          <w:color w:val="000000" w:themeColor="text1"/>
          <w:sz w:val="32"/>
          <w:lang w:eastAsia="zh-CN"/>
          <w14:textFill>
            <w14:solidFill>
              <w14:schemeClr w14:val="tx1"/>
            </w14:solidFill>
          </w14:textFill>
        </w:rPr>
        <w:t>”字号种业、“海”字号农产品等区域公用品牌，</w:t>
      </w:r>
      <w:r>
        <w:rPr>
          <w:rFonts w:hint="eastAsia"/>
          <w:color w:val="000000" w:themeColor="text1"/>
          <w:sz w:val="32"/>
          <w:lang w:val="en-US" w:eastAsia="zh-CN"/>
          <w14:textFill>
            <w14:solidFill>
              <w14:schemeClr w14:val="tx1"/>
            </w14:solidFill>
          </w14:textFill>
        </w:rPr>
        <w:t>持续</w:t>
      </w:r>
      <w:r>
        <w:rPr>
          <w:rFonts w:hint="eastAsia" w:ascii="Times New Roman" w:hAnsi="Times New Roman" w:eastAsia="仿宋"/>
          <w:color w:val="000000" w:themeColor="text1"/>
          <w:sz w:val="32"/>
          <w:lang w:eastAsia="zh-CN"/>
          <w14:textFill>
            <w14:solidFill>
              <w14:schemeClr w14:val="tx1"/>
            </w14:solidFill>
          </w14:textFill>
        </w:rPr>
        <w:t>做强“南舍”“金引江”“海陵草莓”“苏陈小公鸡”等本土品牌，深化梅香、弘梅等老字号建设，不断提升</w:t>
      </w:r>
      <w:r>
        <w:rPr>
          <w:rFonts w:hint="eastAsia"/>
          <w:color w:val="000000" w:themeColor="text1"/>
          <w:sz w:val="32"/>
          <w:lang w:val="en-US" w:eastAsia="zh-CN"/>
          <w14:textFill>
            <w14:solidFill>
              <w14:schemeClr w14:val="tx1"/>
            </w14:solidFill>
          </w14:textFill>
        </w:rPr>
        <w:t>特色产业集群竞争力与影响力</w:t>
      </w:r>
      <w:r>
        <w:rPr>
          <w:rFonts w:hint="eastAsia" w:ascii="Times New Roman" w:hAnsi="Times New Roman" w:eastAsia="仿宋"/>
          <w:color w:val="000000" w:themeColor="text1"/>
          <w:sz w:val="32"/>
          <w:lang w:eastAsia="zh-CN"/>
          <w14:textFill>
            <w14:solidFill>
              <w14:schemeClr w14:val="tx1"/>
            </w14:solidFill>
          </w14:textFill>
        </w:rPr>
        <w:t>。</w:t>
      </w:r>
    </w:p>
    <w:p w14:paraId="3945F1E9">
      <w:pPr>
        <w:rPr>
          <w:rFonts w:hint="eastAsia"/>
          <w:b w:val="0"/>
          <w:bCs w:val="0"/>
          <w:color w:val="auto"/>
          <w:sz w:val="32"/>
          <w:lang w:val="en-US" w:eastAsia="zh-CN"/>
        </w:rPr>
      </w:pPr>
      <w:r>
        <w:rPr>
          <w:rFonts w:hint="eastAsia"/>
          <w:b/>
          <w:bCs/>
          <w:color w:val="auto"/>
          <w:sz w:val="32"/>
          <w:lang w:val="en-US" w:eastAsia="zh-CN"/>
        </w:rPr>
        <w:t>加快智慧农业技术装备推广应用。</w:t>
      </w:r>
      <w:r>
        <w:rPr>
          <w:rFonts w:hint="eastAsia"/>
          <w:b w:val="0"/>
          <w:bCs w:val="0"/>
          <w:color w:val="auto"/>
          <w:sz w:val="32"/>
          <w:lang w:val="en-US" w:eastAsia="zh-CN"/>
        </w:rPr>
        <w:t>深入推进农业生产全程全面机械化和农机装备智能化绿色化“两大行动”，加快补齐机械化种植、收获、烘干、加工等环节短板，重点突破设施农业、畜牧业等薄弱领域，推动农机装备向高端化、智能化、绿色化方向转型。加快智慧农业应用推广，突破智能农机装备“卡脖子”技术，推进北斗导航、5G等新技术集成应用，拓展大数据、农业机器人、人工智能等技术在“三水一花”产业特色化场景上的应用，探索农业领域低空经济发展。持续推进农业生产、农产品加工企业、农业全产业链智转数改，积极争取特色产业链数字化试点，建设一批不同技术模式的智慧农场、无人农场。</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BCC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732CB65">
            <w:pPr>
              <w:widowControl w:val="0"/>
              <w:ind w:firstLine="0" w:firstLineChars="0"/>
              <w:jc w:val="center"/>
              <w:rPr>
                <w:rFonts w:hint="eastAsia" w:ascii="Times New Roman" w:hAnsi="Times New Roman" w:cs="Times New Roman"/>
                <w:b/>
                <w:bCs/>
                <w:color w:val="auto"/>
                <w:sz w:val="21"/>
                <w:szCs w:val="21"/>
                <w:highlight w:val="none"/>
                <w:lang w:val="en-US" w:eastAsia="zh-CN"/>
              </w:rPr>
            </w:pPr>
            <w:r>
              <w:rPr>
                <w:rFonts w:hint="eastAsia" w:ascii="Times New Roman" w:eastAsia="仿宋"/>
                <w:b/>
                <w:bCs/>
                <w:color w:val="auto"/>
                <w:sz w:val="21"/>
                <w:szCs w:val="21"/>
                <w:highlight w:val="none"/>
                <w:lang w:val="en-US" w:eastAsia="zh-CN"/>
              </w:rPr>
              <w:t>专栏</w:t>
            </w:r>
            <w:r>
              <w:rPr>
                <w:rFonts w:hint="eastAsia"/>
                <w:b/>
                <w:bCs/>
                <w:color w:val="auto"/>
                <w:sz w:val="21"/>
                <w:szCs w:val="21"/>
                <w:highlight w:val="none"/>
                <w:lang w:val="en-US" w:eastAsia="zh-CN"/>
              </w:rPr>
              <w:t>三</w:t>
            </w:r>
            <w:r>
              <w:rPr>
                <w:rFonts w:hint="eastAsia" w:ascii="Times New Roman" w:hAnsi="Times New Roman" w:cs="Times New Roman"/>
                <w:b/>
                <w:bCs/>
                <w:color w:val="auto"/>
                <w:sz w:val="21"/>
                <w:szCs w:val="21"/>
                <w:highlight w:val="none"/>
                <w:lang w:val="en-US" w:eastAsia="zh-CN"/>
              </w:rPr>
              <w:t>：推动</w:t>
            </w:r>
            <w:r>
              <w:rPr>
                <w:rFonts w:hint="eastAsia" w:cs="Times New Roman"/>
                <w:b/>
                <w:bCs/>
                <w:color w:val="auto"/>
                <w:sz w:val="21"/>
                <w:szCs w:val="21"/>
                <w:highlight w:val="none"/>
                <w:lang w:val="en-US" w:eastAsia="zh-CN"/>
              </w:rPr>
              <w:t>高标准农田</w:t>
            </w:r>
            <w:r>
              <w:rPr>
                <w:rFonts w:hint="eastAsia" w:ascii="Times New Roman" w:hAnsi="Times New Roman" w:cs="Times New Roman"/>
                <w:b/>
                <w:bCs/>
                <w:color w:val="auto"/>
                <w:sz w:val="21"/>
                <w:szCs w:val="21"/>
                <w:highlight w:val="none"/>
                <w:lang w:val="en-US" w:eastAsia="zh-CN"/>
              </w:rPr>
              <w:t>智慧示范方建设</w:t>
            </w:r>
          </w:p>
          <w:p w14:paraId="5B001A8D">
            <w:pPr>
              <w:pStyle w:val="19"/>
              <w:spacing w:line="360" w:lineRule="auto"/>
              <w:ind w:firstLine="422"/>
              <w:rPr>
                <w:rFonts w:hint="default" w:ascii="Times New Roman"/>
                <w:b w:val="0"/>
                <w:bCs w:val="0"/>
                <w:color w:val="auto"/>
                <w:sz w:val="21"/>
                <w:szCs w:val="21"/>
                <w:highlight w:val="none"/>
                <w:lang w:val="en-US" w:eastAsia="zh-CN" w:bidi="ar"/>
              </w:rPr>
            </w:pPr>
            <w:r>
              <w:rPr>
                <w:rFonts w:hint="eastAsia" w:ascii="Times New Roman"/>
                <w:b w:val="0"/>
                <w:bCs w:val="0"/>
                <w:color w:val="auto"/>
                <w:sz w:val="21"/>
                <w:szCs w:val="21"/>
                <w:highlight w:val="none"/>
                <w:lang w:val="en-US" w:eastAsia="zh-CN" w:bidi="ar"/>
              </w:rPr>
              <w:t>在高标准农田建设基础上，按照“全域感知、数字决策、精准作业、云端管控”的理念，推进高标准农田智慧示范方建设，构建“看得见、算得准、管得好、可追溯”的现代智慧农业新模式。</w:t>
            </w:r>
          </w:p>
          <w:p w14:paraId="4BCF8F27">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1.农情信息立体化感知。</w:t>
            </w:r>
            <w:r>
              <w:rPr>
                <w:rFonts w:hint="eastAsia" w:ascii="Times New Roman"/>
                <w:b w:val="0"/>
                <w:bCs w:val="0"/>
                <w:color w:val="auto"/>
                <w:sz w:val="21"/>
                <w:szCs w:val="21"/>
                <w:highlight w:val="none"/>
                <w:lang w:val="en-US" w:eastAsia="zh-CN" w:bidi="ar"/>
              </w:rPr>
              <w:t>依托物联网、卫星遥感、无人机、地面传感器等技术，搭建空天地一体化农情监测网络。布设土壤墒情、气象环境、病虫害、苗情长势等智能监测设备，实现对农田环境、作物生长、田间灾情的全天候、全覆盖、实时化监测，全面采集农田基础数据，为精准种植、科学管理、智能决策提供数据支撑。</w:t>
            </w:r>
          </w:p>
          <w:p w14:paraId="78464AE9">
            <w:pPr>
              <w:pStyle w:val="19"/>
              <w:spacing w:line="360" w:lineRule="auto"/>
              <w:ind w:firstLine="422"/>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2.农作处方数字化设计。</w:t>
            </w:r>
            <w:r>
              <w:rPr>
                <w:rFonts w:hint="eastAsia" w:ascii="Times New Roman"/>
                <w:b w:val="0"/>
                <w:bCs w:val="0"/>
                <w:color w:val="auto"/>
                <w:sz w:val="21"/>
                <w:szCs w:val="21"/>
                <w:highlight w:val="none"/>
                <w:lang w:val="en-US" w:eastAsia="zh-CN" w:bidi="ar"/>
              </w:rPr>
              <w:t>基于感知数据、土壤数据、历史生产数据，运用大数据分析与模型算法，开展数字化农作处方设计。围绕品种布局、施肥、灌溉、植保等关键环节，形成分区精准作业处方图，实现因地施策、因苗管理、按需供给，推动农业生产由“经验型”向“数据型、精准型”转变，提升资源利用效率与农产品品质。</w:t>
            </w:r>
          </w:p>
          <w:p w14:paraId="1D2CD720">
            <w:pPr>
              <w:pStyle w:val="19"/>
              <w:spacing w:line="360" w:lineRule="auto"/>
              <w:ind w:firstLine="422" w:firstLineChars="200"/>
              <w:rPr>
                <w:rFonts w:hint="eastAsia"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3.农田管理精准化作业。</w:t>
            </w:r>
            <w:r>
              <w:rPr>
                <w:rFonts w:hint="eastAsia" w:ascii="Times New Roman"/>
                <w:b w:val="0"/>
                <w:bCs w:val="0"/>
                <w:color w:val="auto"/>
                <w:sz w:val="21"/>
                <w:szCs w:val="21"/>
                <w:highlight w:val="none"/>
                <w:lang w:val="en-US" w:eastAsia="zh-CN" w:bidi="ar"/>
              </w:rPr>
              <w:t>配套推广智能农机、无人农机、水肥一体化、绿色防控等现代化装备与技术，开展精准播种、精准施肥、精准灌溉、精准植保等作业。推进农机作业智能调度、田间作业全程留痕、生产环节闭环管理，实现农田管理精准化、高效化、减量化、绿色化，全面提升万亩示范方智能化作业水平。</w:t>
            </w:r>
          </w:p>
          <w:p w14:paraId="2E45CB83">
            <w:pPr>
              <w:pStyle w:val="19"/>
              <w:spacing w:line="360" w:lineRule="auto"/>
              <w:ind w:firstLine="422" w:firstLineChars="200"/>
              <w:rPr>
                <w:rFonts w:hint="default" w:ascii="Times New Roman"/>
                <w:b w:val="0"/>
                <w:bCs w:val="0"/>
                <w:color w:val="auto"/>
                <w:sz w:val="21"/>
                <w:szCs w:val="21"/>
                <w:highlight w:val="none"/>
                <w:lang w:val="en-US" w:eastAsia="zh-CN" w:bidi="ar"/>
              </w:rPr>
            </w:pPr>
            <w:r>
              <w:rPr>
                <w:rFonts w:hint="eastAsia" w:ascii="Times New Roman"/>
                <w:b/>
                <w:bCs/>
                <w:color w:val="auto"/>
                <w:sz w:val="21"/>
                <w:szCs w:val="21"/>
                <w:highlight w:val="none"/>
                <w:lang w:val="en-US" w:eastAsia="zh-CN" w:bidi="ar"/>
              </w:rPr>
              <w:t>4.智慧农服管理云平台。</w:t>
            </w:r>
            <w:r>
              <w:rPr>
                <w:rFonts w:hint="eastAsia" w:ascii="Times New Roman"/>
                <w:b w:val="0"/>
                <w:bCs w:val="0"/>
                <w:color w:val="auto"/>
                <w:sz w:val="21"/>
                <w:szCs w:val="21"/>
                <w:highlight w:val="none"/>
                <w:lang w:val="en-US" w:eastAsia="zh-CN" w:bidi="ar"/>
              </w:rPr>
              <w:t>整合感知数据、处方数据、作业数据、农资数据，搭建海陵区智慧农业服务云平台，实现一屏观全域、一网管全程。平台具备数据监测、分析预警、智能决策、调度指挥、质量追溯等功能，为政府监管、主体生产、社会化服务、产业联动提供统一数字入口，形成数据汇聚、业务协同、上下联动、共建共享的智慧农田管理体系。</w:t>
            </w:r>
          </w:p>
        </w:tc>
      </w:tr>
    </w:tbl>
    <w:p w14:paraId="55AC4F57">
      <w:pPr>
        <w:rPr>
          <w:rFonts w:hint="eastAsia" w:ascii="Times New Roman" w:eastAsia="仿宋"/>
          <w:b w:val="0"/>
          <w:bCs w:val="0"/>
          <w:lang w:val="en-US" w:eastAsia="zh-CN"/>
        </w:rPr>
      </w:pPr>
      <w:r>
        <w:rPr>
          <w:rFonts w:hint="eastAsia" w:ascii="Times New Roman" w:eastAsia="仿宋"/>
          <w:b/>
          <w:bCs/>
          <w:color w:val="auto"/>
          <w:highlight w:val="none"/>
          <w:lang w:val="en-US" w:eastAsia="zh-CN"/>
        </w:rPr>
        <w:t>加快建设区域性农业综合服务中心</w:t>
      </w:r>
      <w:r>
        <w:rPr>
          <w:rFonts w:hint="eastAsia" w:ascii="Times New Roman" w:eastAsia="仿宋"/>
          <w:b w:val="0"/>
          <w:bCs w:val="0"/>
          <w:color w:val="auto"/>
          <w:highlight w:val="none"/>
          <w:lang w:val="en-US" w:eastAsia="zh-CN"/>
        </w:rPr>
        <w:t>。</w:t>
      </w:r>
      <w:r>
        <w:rPr>
          <w:rFonts w:hint="eastAsia"/>
          <w:b w:val="0"/>
          <w:bCs w:val="0"/>
          <w:color w:val="auto"/>
          <w:highlight w:val="none"/>
          <w:lang w:val="en-US" w:eastAsia="zh-CN"/>
        </w:rPr>
        <w:t>聚焦农技推广赋能、农事全程托管两大核心职能</w:t>
      </w:r>
      <w:r>
        <w:rPr>
          <w:rFonts w:hint="eastAsia" w:ascii="Times New Roman" w:eastAsia="仿宋"/>
          <w:b w:val="0"/>
          <w:bCs w:val="0"/>
          <w:color w:val="auto"/>
          <w:highlight w:val="none"/>
          <w:lang w:val="en-US" w:eastAsia="zh-CN"/>
        </w:rPr>
        <w:t>，</w:t>
      </w:r>
      <w:r>
        <w:rPr>
          <w:rFonts w:hint="eastAsia"/>
          <w:b w:val="0"/>
          <w:bCs w:val="0"/>
          <w:color w:val="auto"/>
          <w:highlight w:val="none"/>
          <w:lang w:val="en-US" w:eastAsia="zh-CN"/>
        </w:rPr>
        <w:t>重点打造海陵区智慧</w:t>
      </w:r>
      <w:r>
        <w:rPr>
          <w:rFonts w:hint="eastAsia"/>
          <w:b w:val="0"/>
          <w:bCs w:val="0"/>
          <w:color w:val="auto"/>
          <w:lang w:val="en-US" w:eastAsia="zh-CN"/>
        </w:rPr>
        <w:t>农业服务云平台，</w:t>
      </w:r>
      <w:r>
        <w:rPr>
          <w:rFonts w:hint="eastAsia" w:ascii="Times New Roman" w:eastAsia="仿宋"/>
          <w:b w:val="0"/>
          <w:bCs w:val="0"/>
          <w:color w:val="auto"/>
          <w:lang w:val="en-US" w:eastAsia="zh-CN"/>
        </w:rPr>
        <w:t>启动罡杨镇、红旗街道区域性农业综合服务中心建设，</w:t>
      </w:r>
      <w:r>
        <w:rPr>
          <w:rFonts w:hint="eastAsia"/>
          <w:b w:val="0"/>
          <w:bCs w:val="0"/>
          <w:color w:val="auto"/>
          <w:lang w:val="en-US" w:eastAsia="zh-CN"/>
        </w:rPr>
        <w:t>着力构建“中部指挥调度、东西协同联动”的农业社会化服务格局。积极探索覆盖“耕、种、管、收、烘、储、销”全链条的托管服务模式，有效破解农业生产面临的现实难题，推动小农户与现代农业发展有机衔接。对接“苏农云”平台建设数字化服务网络，集成农资供应、技术推广、农机作业、智慧管理等服务功能，逐步构建集“四情监测、智能决策、云端服务”于一体的数字农业社会化服务体系。</w:t>
      </w:r>
      <w:r>
        <w:rPr>
          <w:rFonts w:hint="eastAsia" w:ascii="Times New Roman" w:eastAsia="仿宋"/>
          <w:b w:val="0"/>
          <w:bCs w:val="0"/>
          <w:color w:val="auto"/>
          <w:lang w:val="en-US" w:eastAsia="zh-CN"/>
        </w:rPr>
        <w:t>到2030</w:t>
      </w:r>
      <w:r>
        <w:rPr>
          <w:rFonts w:hint="eastAsia" w:ascii="Times New Roman" w:eastAsia="仿宋"/>
          <w:b w:val="0"/>
          <w:bCs w:val="0"/>
          <w:lang w:val="en-US" w:eastAsia="zh-CN"/>
        </w:rPr>
        <w:t>年，建设</w:t>
      </w:r>
      <w:r>
        <w:rPr>
          <w:rFonts w:hint="eastAsia"/>
          <w:b w:val="0"/>
          <w:bCs w:val="0"/>
          <w:lang w:val="en-US" w:eastAsia="zh-CN"/>
        </w:rPr>
        <w:t>2</w:t>
      </w:r>
      <w:r>
        <w:rPr>
          <w:rFonts w:hint="eastAsia" w:ascii="Times New Roman" w:eastAsia="仿宋"/>
          <w:b w:val="0"/>
          <w:bCs w:val="0"/>
          <w:lang w:val="en-US" w:eastAsia="zh-CN"/>
        </w:rPr>
        <w:t>个区域性农业综合服务中心，实现</w:t>
      </w:r>
      <w:r>
        <w:rPr>
          <w:rFonts w:hint="eastAsia"/>
          <w:b w:val="0"/>
          <w:bCs w:val="0"/>
          <w:lang w:val="en-US" w:eastAsia="zh-CN"/>
        </w:rPr>
        <w:t>全区</w:t>
      </w:r>
      <w:r>
        <w:rPr>
          <w:rFonts w:hint="eastAsia" w:ascii="Times New Roman" w:eastAsia="仿宋"/>
          <w:b w:val="0"/>
          <w:bCs w:val="0"/>
          <w:lang w:val="en-US" w:eastAsia="zh-CN"/>
        </w:rPr>
        <w:t>综合服务中心能力全面提升。</w:t>
      </w:r>
    </w:p>
    <w:p w14:paraId="3A3D8AB6">
      <w:pPr>
        <w:pStyle w:val="2"/>
        <w:rPr>
          <w:rFonts w:hint="default"/>
          <w:lang w:val="en-US"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53D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E15DE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eastAsia="仿宋"/>
                <w:b/>
                <w:bCs/>
                <w:color w:val="auto"/>
                <w:sz w:val="21"/>
                <w:szCs w:val="21"/>
                <w:highlight w:val="none"/>
                <w:lang w:val="en-US" w:eastAsia="zh-CN"/>
              </w:rPr>
              <w:t>专栏</w:t>
            </w:r>
            <w:r>
              <w:rPr>
                <w:rFonts w:hint="eastAsia"/>
                <w:b/>
                <w:bCs/>
                <w:color w:val="auto"/>
                <w:sz w:val="21"/>
                <w:szCs w:val="21"/>
                <w:highlight w:val="none"/>
                <w:lang w:val="en-US" w:eastAsia="zh-CN"/>
              </w:rPr>
              <w:t>四</w:t>
            </w:r>
            <w:r>
              <w:rPr>
                <w:rFonts w:hint="eastAsia" w:ascii="Times New Roman" w:hAnsi="Times New Roman"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完善农业社会化服务体系</w:t>
            </w:r>
          </w:p>
          <w:p w14:paraId="445B9273">
            <w:pPr>
              <w:keepNext w:val="0"/>
              <w:keepLines w:val="0"/>
              <w:widowControl/>
              <w:suppressLineNumbers w:val="0"/>
              <w:spacing w:line="360" w:lineRule="auto"/>
              <w:ind w:firstLine="420" w:firstLineChars="200"/>
              <w:jc w:val="left"/>
              <w:rPr>
                <w:rFonts w:hint="default" w:eastAsia="仿宋"/>
                <w:b w:val="0"/>
                <w:bCs w:val="0"/>
                <w:color w:val="auto"/>
                <w:sz w:val="21"/>
                <w:szCs w:val="21"/>
                <w:highlight w:val="none"/>
                <w:lang w:val="en-US" w:eastAsia="zh-CN" w:bidi="ar"/>
              </w:rPr>
            </w:pPr>
            <w:r>
              <w:rPr>
                <w:rFonts w:hint="eastAsia" w:ascii="Times New Roman" w:eastAsia="仿宋"/>
                <w:b w:val="0"/>
                <w:bCs w:val="0"/>
                <w:color w:val="auto"/>
                <w:sz w:val="21"/>
                <w:szCs w:val="21"/>
                <w:highlight w:val="none"/>
                <w:lang w:val="en-US" w:eastAsia="zh-CN" w:bidi="ar"/>
              </w:rPr>
              <w:t>以智慧农服平台为</w:t>
            </w:r>
            <w:r>
              <w:rPr>
                <w:rFonts w:hint="eastAsia"/>
                <w:b w:val="0"/>
                <w:bCs w:val="0"/>
                <w:color w:val="auto"/>
                <w:sz w:val="21"/>
                <w:szCs w:val="21"/>
                <w:highlight w:val="none"/>
                <w:lang w:val="en-US" w:eastAsia="zh-CN" w:bidi="ar"/>
              </w:rPr>
              <w:t>核心，打造2个区域性农业综合服务中心，形成“中部指挥调度、东西协同联动”的农业社会化服务格局，构建覆盖全区农业生产全链条的现代化服务体系。</w:t>
            </w:r>
          </w:p>
          <w:p w14:paraId="562B194C">
            <w:pPr>
              <w:keepNext w:val="0"/>
              <w:keepLines w:val="0"/>
              <w:widowControl/>
              <w:suppressLineNumbers w:val="0"/>
              <w:spacing w:line="360" w:lineRule="auto"/>
              <w:ind w:firstLine="422" w:firstLineChars="200"/>
              <w:jc w:val="left"/>
              <w:rPr>
                <w:rFonts w:hint="eastAsia"/>
                <w:color w:val="auto"/>
                <w:sz w:val="21"/>
                <w:szCs w:val="21"/>
                <w:highlight w:val="none"/>
                <w:lang w:bidi="ar"/>
              </w:rPr>
            </w:pPr>
            <w:r>
              <w:rPr>
                <w:rFonts w:hint="eastAsia"/>
                <w:b/>
                <w:bCs/>
                <w:color w:val="auto"/>
                <w:sz w:val="21"/>
                <w:szCs w:val="21"/>
                <w:highlight w:val="none"/>
                <w:lang w:bidi="ar"/>
              </w:rPr>
              <w:t>1.</w:t>
            </w:r>
            <w:r>
              <w:rPr>
                <w:rFonts w:hint="eastAsia"/>
                <w:b/>
                <w:bCs/>
                <w:color w:val="auto"/>
                <w:sz w:val="21"/>
                <w:szCs w:val="21"/>
                <w:highlight w:val="none"/>
                <w:lang w:val="en-US" w:eastAsia="zh-CN" w:bidi="ar"/>
              </w:rPr>
              <w:t>区域性农业综合服务中心（农技）</w:t>
            </w:r>
            <w:r>
              <w:rPr>
                <w:rFonts w:hint="eastAsia"/>
                <w:b/>
                <w:bCs/>
                <w:color w:val="auto"/>
                <w:sz w:val="21"/>
                <w:szCs w:val="21"/>
                <w:highlight w:val="none"/>
                <w:lang w:bidi="ar"/>
              </w:rPr>
              <w:t>。</w:t>
            </w:r>
            <w:r>
              <w:rPr>
                <w:rFonts w:hint="eastAsia"/>
                <w:b w:val="0"/>
                <w:bCs w:val="0"/>
                <w:color w:val="auto"/>
                <w:sz w:val="21"/>
                <w:szCs w:val="21"/>
                <w:highlight w:val="none"/>
                <w:lang w:bidi="ar"/>
              </w:rPr>
              <w:t>建设固定服务场所，利用现有设施改造，配备办公、培训与检测设备，满足日常服务需求。组建专业服务团队，整合农技人员、科研专家、乡土人才等，按需设岗，通过“包村联户”等方式开展技术指导与培训。打造科技展示基地，围绕主导产业建设长期稳定的示范基地，集成示范新品种、新技术与新装备。建立智慧监测系统，以粮油作物为重点，科学配置“四情”监测设备，构建智能监测网络并接入省级平台。搭建“新农人”实践平台，联合培训机构开展田间实训、创业辅导与学历提升，支持“头雁”等带头人参与服务中心示范推广。</w:t>
            </w:r>
          </w:p>
          <w:p w14:paraId="6FCC4F19">
            <w:pPr>
              <w:pStyle w:val="19"/>
              <w:spacing w:line="360" w:lineRule="auto"/>
              <w:rPr>
                <w:rFonts w:hint="default"/>
                <w:lang w:val="en-US" w:eastAsia="zh-CN"/>
              </w:rPr>
            </w:pPr>
            <w:r>
              <w:rPr>
                <w:rFonts w:hint="eastAsia" w:ascii="Times New Roman" w:eastAsia="仿宋"/>
                <w:b/>
                <w:bCs/>
                <w:color w:val="auto"/>
                <w:sz w:val="21"/>
                <w:szCs w:val="21"/>
                <w:highlight w:val="none"/>
                <w:lang w:val="en-US" w:eastAsia="zh-CN" w:bidi="ar"/>
              </w:rPr>
              <w:t>2</w:t>
            </w:r>
            <w:r>
              <w:rPr>
                <w:rFonts w:hint="eastAsia"/>
                <w:b/>
                <w:bCs/>
                <w:color w:val="auto"/>
                <w:sz w:val="21"/>
                <w:szCs w:val="21"/>
                <w:highlight w:val="none"/>
                <w:lang w:bidi="ar"/>
              </w:rPr>
              <w:t>.</w:t>
            </w:r>
            <w:r>
              <w:rPr>
                <w:rFonts w:hint="eastAsia" w:ascii="Times New Roman" w:eastAsia="仿宋"/>
                <w:b/>
                <w:bCs/>
                <w:color w:val="auto"/>
                <w:sz w:val="21"/>
                <w:szCs w:val="21"/>
                <w:highlight w:val="none"/>
                <w:lang w:val="en-US" w:eastAsia="zh-CN" w:bidi="ar"/>
              </w:rPr>
              <w:t>区域性农业综合服务中心</w:t>
            </w:r>
            <w:r>
              <w:rPr>
                <w:rFonts w:hint="eastAsia" w:ascii="Times New Roman"/>
                <w:b/>
                <w:bCs/>
                <w:color w:val="auto"/>
                <w:sz w:val="21"/>
                <w:szCs w:val="21"/>
                <w:highlight w:val="none"/>
                <w:lang w:val="en-US" w:eastAsia="zh-CN" w:bidi="ar"/>
              </w:rPr>
              <w:t>（农事）</w:t>
            </w:r>
            <w:r>
              <w:rPr>
                <w:rFonts w:hint="eastAsia" w:ascii="Times New Roman" w:eastAsia="仿宋"/>
                <w:b/>
                <w:bCs/>
                <w:color w:val="auto"/>
                <w:sz w:val="21"/>
                <w:szCs w:val="21"/>
                <w:highlight w:val="none"/>
                <w:lang w:val="en-US" w:eastAsia="zh-CN" w:bidi="ar"/>
              </w:rPr>
              <w:t>。</w:t>
            </w:r>
            <w:r>
              <w:rPr>
                <w:rFonts w:hint="eastAsia" w:ascii="Times New Roman"/>
                <w:b w:val="0"/>
                <w:bCs w:val="0"/>
                <w:color w:val="auto"/>
                <w:sz w:val="21"/>
                <w:szCs w:val="21"/>
                <w:highlight w:val="none"/>
                <w:lang w:val="en-US" w:eastAsia="zh-CN" w:bidi="ar"/>
              </w:rPr>
              <w:t>提供“耕、种、管、收”全程机械化作业服务，配备相应农机库与机具，开展种子、肥料等农资的统一采购与配送。建设育秧（苗）中心，提供集中育供秧服务，配置植保机械，开展专业化病虫害防控，建设烘干中心，提供粮食烘干服务，设立维修点，提供农机保养与零配件供应，并储备应急机具，承担抢收抢烘等防灾减灾作业。应用智慧农业平台进行作业监测与调度，建设培训室开展农技与安全培训，设立展销区助力农产品线上线下销售，根据需求建设仓储保鲜库与初加工车间，并配套建设农业废弃物收集处理设施，促进资源循环利用。鼓励结合实际需求与条件，选择性配置拓展功能，推动服务功能集成与能级提升。</w:t>
            </w:r>
          </w:p>
        </w:tc>
      </w:tr>
    </w:tbl>
    <w:p w14:paraId="22A9251F">
      <w:pPr>
        <w:pStyle w:val="4"/>
        <w:rPr>
          <w:rFonts w:hint="default"/>
          <w:highlight w:val="none"/>
          <w:lang w:val="en-US" w:eastAsia="zh-CN"/>
        </w:rPr>
      </w:pPr>
      <w:bookmarkStart w:id="57" w:name="_Toc8855"/>
      <w:r>
        <w:rPr>
          <w:rFonts w:hint="eastAsia"/>
          <w:highlight w:val="none"/>
          <w:lang w:val="en-US" w:eastAsia="zh-CN"/>
        </w:rPr>
        <w:t>第三节 强化农业开发区引擎作用</w:t>
      </w:r>
      <w:bookmarkEnd w:id="54"/>
      <w:bookmarkEnd w:id="55"/>
      <w:bookmarkEnd w:id="56"/>
      <w:bookmarkEnd w:id="57"/>
    </w:p>
    <w:p w14:paraId="7BB33AAC">
      <w:pPr>
        <w:rPr>
          <w:rFonts w:hint="default"/>
          <w:b w:val="0"/>
          <w:bCs w:val="0"/>
          <w:color w:val="auto"/>
          <w:sz w:val="32"/>
          <w:lang w:val="en-US" w:eastAsia="zh-CN"/>
        </w:rPr>
      </w:pPr>
      <w:r>
        <w:rPr>
          <w:rFonts w:hint="eastAsia" w:ascii="Times New Roman" w:eastAsia="仿宋"/>
          <w:b/>
          <w:bCs/>
          <w:color w:val="auto"/>
          <w:sz w:val="32"/>
          <w:lang w:val="en-US" w:eastAsia="zh-CN"/>
        </w:rPr>
        <w:t>实施现代种业振兴行动。</w:t>
      </w:r>
      <w:r>
        <w:rPr>
          <w:rFonts w:hint="eastAsia"/>
          <w:b w:val="0"/>
          <w:bCs w:val="0"/>
          <w:color w:val="auto"/>
          <w:sz w:val="32"/>
          <w:lang w:val="en-US" w:eastAsia="zh-CN"/>
        </w:rPr>
        <w:t>依托</w:t>
      </w:r>
      <w:r>
        <w:rPr>
          <w:rFonts w:hint="default"/>
          <w:b w:val="0"/>
          <w:bCs w:val="0"/>
          <w:color w:val="auto"/>
          <w:sz w:val="32"/>
          <w:lang w:val="en-US" w:eastAsia="zh-CN"/>
        </w:rPr>
        <w:t>国家现代农业产业（种业）园，加快推进现代种业</w:t>
      </w:r>
      <w:r>
        <w:rPr>
          <w:rFonts w:hint="eastAsia" w:ascii="Times New Roman" w:eastAsia="仿宋"/>
          <w:b w:val="0"/>
          <w:bCs w:val="0"/>
          <w:color w:val="auto"/>
          <w:sz w:val="32"/>
          <w:lang w:val="en-US" w:eastAsia="zh-CN"/>
        </w:rPr>
        <w:t>“</w:t>
      </w:r>
      <w:r>
        <w:rPr>
          <w:rFonts w:hint="default"/>
          <w:b w:val="0"/>
          <w:bCs w:val="0"/>
          <w:color w:val="auto"/>
          <w:sz w:val="32"/>
          <w:lang w:val="en-US" w:eastAsia="zh-CN"/>
        </w:rPr>
        <w:t>保、育、繁、推</w:t>
      </w:r>
      <w:r>
        <w:rPr>
          <w:rFonts w:hint="eastAsia" w:ascii="Times New Roman" w:eastAsia="仿宋"/>
          <w:b w:val="0"/>
          <w:bCs w:val="0"/>
          <w:color w:val="auto"/>
          <w:sz w:val="32"/>
          <w:lang w:val="en-US" w:eastAsia="zh-CN"/>
        </w:rPr>
        <w:t>”</w:t>
      </w:r>
      <w:r>
        <w:rPr>
          <w:rFonts w:hint="default"/>
          <w:b w:val="0"/>
          <w:bCs w:val="0"/>
          <w:color w:val="auto"/>
          <w:sz w:val="32"/>
          <w:lang w:val="en-US" w:eastAsia="zh-CN"/>
        </w:rPr>
        <w:t>链式高质量发展</w:t>
      </w:r>
      <w:r>
        <w:rPr>
          <w:rFonts w:hint="eastAsia"/>
          <w:b w:val="0"/>
          <w:bCs w:val="0"/>
          <w:color w:val="auto"/>
          <w:sz w:val="32"/>
          <w:lang w:val="en-US" w:eastAsia="zh-CN"/>
        </w:rPr>
        <w:t>。</w:t>
      </w:r>
      <w:r>
        <w:rPr>
          <w:rFonts w:hint="default"/>
          <w:b w:val="0"/>
          <w:bCs w:val="0"/>
          <w:color w:val="auto"/>
          <w:sz w:val="32"/>
          <w:lang w:val="en-US" w:eastAsia="zh-CN"/>
        </w:rPr>
        <w:t>积极构建以企业为主体、市场为导向、产学研协同、繁育推一体的商业化育种协作攻关机制</w:t>
      </w:r>
      <w:r>
        <w:rPr>
          <w:rFonts w:hint="eastAsia"/>
          <w:b w:val="0"/>
          <w:bCs w:val="0"/>
          <w:color w:val="auto"/>
          <w:sz w:val="32"/>
          <w:lang w:val="en-US" w:eastAsia="zh-CN"/>
        </w:rPr>
        <w:t>，着力推动泰稻泰麦系列、泰州地方水禽、泰州特色水产等自主品种培育取得突破性进展</w:t>
      </w:r>
      <w:r>
        <w:rPr>
          <w:rFonts w:hint="eastAsia" w:ascii="Times New Roman" w:eastAsia="仿宋"/>
          <w:b w:val="0"/>
          <w:bCs w:val="0"/>
          <w:color w:val="auto"/>
          <w:sz w:val="32"/>
          <w:lang w:val="en-US" w:eastAsia="zh-CN"/>
        </w:rPr>
        <w:t>。</w:t>
      </w:r>
      <w:r>
        <w:rPr>
          <w:rFonts w:hint="default"/>
          <w:b w:val="0"/>
          <w:bCs w:val="0"/>
          <w:color w:val="auto"/>
          <w:sz w:val="32"/>
          <w:lang w:val="en-US" w:eastAsia="zh-CN"/>
        </w:rPr>
        <w:t>紧扣种质资源保护利用、种业科技创新、种源关键核心技术攻关等环节，加强良种繁育基地和特色优势种苗中心建设</w:t>
      </w:r>
      <w:r>
        <w:rPr>
          <w:rFonts w:hint="eastAsia" w:ascii="Times New Roman" w:eastAsia="仿宋"/>
          <w:b w:val="0"/>
          <w:bCs w:val="0"/>
          <w:color w:val="auto"/>
          <w:sz w:val="32"/>
          <w:lang w:val="en-US" w:eastAsia="zh-CN"/>
        </w:rPr>
        <w:t>，</w:t>
      </w:r>
      <w:r>
        <w:rPr>
          <w:rFonts w:hint="default"/>
          <w:b w:val="0"/>
          <w:bCs w:val="0"/>
          <w:color w:val="auto"/>
          <w:sz w:val="32"/>
          <w:lang w:val="en-US" w:eastAsia="zh-CN"/>
        </w:rPr>
        <w:t>加快国家级水禽基因库、国家级姜曲海猪保种场、泰州地方特色作物种质资源库提升建设。推动中华绒螯蟹国家级良种繁育场、罗氏沼虾国家级水产良种场建设，打造淡水大黄鱼成鱼养殖智慧渔场，建成罗氏沼虾</w:t>
      </w:r>
      <w:r>
        <w:rPr>
          <w:rFonts w:hint="eastAsia" w:ascii="Times New Roman" w:eastAsia="仿宋"/>
          <w:b w:val="0"/>
          <w:bCs w:val="0"/>
          <w:color w:val="auto"/>
          <w:sz w:val="32"/>
          <w:lang w:val="en-US" w:eastAsia="zh-CN"/>
        </w:rPr>
        <w:t>“</w:t>
      </w:r>
      <w:r>
        <w:rPr>
          <w:rFonts w:hint="default"/>
          <w:b w:val="0"/>
          <w:bCs w:val="0"/>
          <w:color w:val="auto"/>
          <w:sz w:val="32"/>
          <w:lang w:val="en-US" w:eastAsia="zh-CN"/>
        </w:rPr>
        <w:t>苏沪1号</w:t>
      </w:r>
      <w:r>
        <w:rPr>
          <w:rFonts w:hint="eastAsia" w:ascii="Times New Roman" w:eastAsia="仿宋"/>
          <w:b w:val="0"/>
          <w:bCs w:val="0"/>
          <w:color w:val="auto"/>
          <w:sz w:val="32"/>
          <w:lang w:val="en-US" w:eastAsia="zh-CN"/>
        </w:rPr>
        <w:t>”</w:t>
      </w:r>
      <w:r>
        <w:rPr>
          <w:rFonts w:hint="default"/>
          <w:b w:val="0"/>
          <w:bCs w:val="0"/>
          <w:color w:val="auto"/>
          <w:sz w:val="32"/>
          <w:lang w:val="en-US" w:eastAsia="zh-CN"/>
        </w:rPr>
        <w:t>种质实验室。</w:t>
      </w:r>
      <w:r>
        <w:rPr>
          <w:rFonts w:hint="eastAsia" w:ascii="Times New Roman" w:eastAsia="仿宋"/>
          <w:b w:val="0"/>
          <w:bCs w:val="0"/>
          <w:color w:val="auto"/>
          <w:sz w:val="32"/>
          <w:lang w:val="en-US" w:eastAsia="zh-CN"/>
        </w:rPr>
        <w:t>到2030年，</w:t>
      </w:r>
      <w:r>
        <w:rPr>
          <w:rFonts w:hint="default"/>
          <w:b w:val="0"/>
          <w:bCs w:val="0"/>
          <w:color w:val="auto"/>
          <w:sz w:val="32"/>
          <w:lang w:val="en-US" w:eastAsia="zh-CN"/>
        </w:rPr>
        <w:t>实施市级种业研发攻关项目6个，积极开展农业新品种培育，通过国家、省审定（认定）的农业新品种3个以上。</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2D2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17C02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仿宋" w:cs="Times New Roman"/>
                <w:b/>
                <w:bCs/>
                <w:color w:val="auto"/>
                <w:sz w:val="21"/>
                <w:szCs w:val="21"/>
                <w:highlight w:val="none"/>
                <w:lang w:val="en-US" w:eastAsia="zh-CN"/>
              </w:rPr>
            </w:pPr>
            <w:r>
              <w:rPr>
                <w:rFonts w:hint="eastAsia" w:eastAsia="仿宋"/>
                <w:b/>
                <w:bCs/>
                <w:color w:val="auto"/>
                <w:sz w:val="21"/>
                <w:szCs w:val="21"/>
                <w:highlight w:val="none"/>
                <w:lang w:val="en-US" w:eastAsia="zh-CN"/>
              </w:rPr>
              <w:t>专栏</w:t>
            </w:r>
            <w:r>
              <w:rPr>
                <w:rFonts w:hint="eastAsia"/>
                <w:b/>
                <w:bCs/>
                <w:color w:val="auto"/>
                <w:sz w:val="21"/>
                <w:szCs w:val="21"/>
                <w:highlight w:val="none"/>
                <w:lang w:val="en-US" w:eastAsia="zh-CN"/>
              </w:rPr>
              <w:t>五</w:t>
            </w:r>
            <w:r>
              <w:rPr>
                <w:rFonts w:hint="eastAsia" w:ascii="Times New Roman" w:hAnsi="Times New Roman" w:eastAsia="仿宋" w:cs="Times New Roman"/>
                <w:b/>
                <w:bCs/>
                <w:color w:val="auto"/>
                <w:sz w:val="21"/>
                <w:szCs w:val="21"/>
                <w:highlight w:val="none"/>
                <w:lang w:val="en-US" w:eastAsia="zh-CN"/>
              </w:rPr>
              <w:t>：</w:t>
            </w:r>
            <w:r>
              <w:rPr>
                <w:rFonts w:hint="eastAsia" w:eastAsia="仿宋" w:cs="Times New Roman"/>
                <w:b/>
                <w:bCs/>
                <w:color w:val="auto"/>
                <w:sz w:val="21"/>
                <w:szCs w:val="21"/>
                <w:highlight w:val="none"/>
                <w:lang w:val="en-US" w:eastAsia="zh-CN"/>
              </w:rPr>
              <w:t>实施现代种业振兴行动</w:t>
            </w:r>
          </w:p>
          <w:p w14:paraId="2A3B92C7">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bCs w:val="0"/>
                <w:i w:val="0"/>
                <w:iCs w:val="0"/>
                <w:caps w:val="0"/>
                <w:color w:val="auto"/>
                <w:spacing w:val="0"/>
                <w:kern w:val="2"/>
                <w:sz w:val="21"/>
                <w:szCs w:val="21"/>
                <w:shd w:val="clear"/>
                <w:lang w:val="en-US" w:eastAsia="zh-CN" w:bidi="ar"/>
              </w:rPr>
            </w:pPr>
            <w:r>
              <w:rPr>
                <w:rFonts w:hint="eastAsia" w:eastAsia="仿宋" w:cs="Times New Roman"/>
                <w:bCs w:val="0"/>
                <w:i w:val="0"/>
                <w:iCs w:val="0"/>
                <w:caps w:val="0"/>
                <w:color w:val="auto"/>
                <w:spacing w:val="0"/>
                <w:kern w:val="2"/>
                <w:sz w:val="21"/>
                <w:szCs w:val="21"/>
                <w:shd w:val="clear"/>
                <w:lang w:val="en-US" w:eastAsia="zh-CN" w:bidi="ar"/>
              </w:rPr>
              <w:t>以</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国家现代农业产业</w:t>
            </w:r>
            <w:r>
              <w:rPr>
                <w:rFonts w:hint="eastAsia" w:eastAsia="仿宋" w:cs="Times New Roman"/>
                <w:bCs w:val="0"/>
                <w:i w:val="0"/>
                <w:iCs w:val="0"/>
                <w:caps w:val="0"/>
                <w:color w:val="auto"/>
                <w:spacing w:val="0"/>
                <w:kern w:val="2"/>
                <w:sz w:val="21"/>
                <w:szCs w:val="21"/>
                <w:shd w:val="clear"/>
                <w:lang w:val="en-US" w:eastAsia="zh-CN" w:bidi="ar"/>
              </w:rPr>
              <w:t>（种业）</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园</w:t>
            </w:r>
            <w:r>
              <w:rPr>
                <w:rFonts w:hint="eastAsia" w:eastAsia="仿宋" w:cs="Times New Roman"/>
                <w:bCs w:val="0"/>
                <w:i w:val="0"/>
                <w:iCs w:val="0"/>
                <w:caps w:val="0"/>
                <w:color w:val="auto"/>
                <w:spacing w:val="0"/>
                <w:kern w:val="2"/>
                <w:sz w:val="21"/>
                <w:szCs w:val="21"/>
                <w:shd w:val="clear"/>
                <w:lang w:val="en-US" w:eastAsia="zh-CN" w:bidi="ar"/>
              </w:rPr>
              <w:t>为核心引擎，聚焦“三水一花”特色种业产业链，</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深入实施</w:t>
            </w:r>
            <w:r>
              <w:rPr>
                <w:rFonts w:hint="eastAsia" w:eastAsia="仿宋" w:cs="Times New Roman"/>
                <w:bCs w:val="0"/>
                <w:i w:val="0"/>
                <w:iCs w:val="0"/>
                <w:caps w:val="0"/>
                <w:color w:val="auto"/>
                <w:spacing w:val="0"/>
                <w:kern w:val="2"/>
                <w:sz w:val="21"/>
                <w:szCs w:val="21"/>
                <w:shd w:val="clear"/>
                <w:lang w:val="en-US" w:eastAsia="zh-CN" w:bidi="ar"/>
              </w:rPr>
              <w:t>现代</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种业振兴行动，</w:t>
            </w:r>
            <w:r>
              <w:rPr>
                <w:rFonts w:hint="eastAsia" w:eastAsia="仿宋" w:cs="Times New Roman"/>
                <w:bCs w:val="0"/>
                <w:i w:val="0"/>
                <w:iCs w:val="0"/>
                <w:caps w:val="0"/>
                <w:color w:val="auto"/>
                <w:spacing w:val="0"/>
                <w:kern w:val="2"/>
                <w:sz w:val="21"/>
                <w:szCs w:val="21"/>
                <w:shd w:val="clear"/>
                <w:lang w:val="en-US" w:eastAsia="zh-CN" w:bidi="ar"/>
              </w:rPr>
              <w:t>打造长三角地区具有重要影响力的种业创新高地和高附加值种业产业集群</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w:t>
            </w:r>
          </w:p>
          <w:p w14:paraId="5500F07F">
            <w:pPr>
              <w:keepNext w:val="0"/>
              <w:keepLines w:val="0"/>
              <w:pageBreakBefore w:val="0"/>
              <w:widowControl/>
              <w:numPr>
                <w:ilvl w:val="0"/>
                <w:numId w:val="0"/>
              </w:numPr>
              <w:suppressLineNumbers w:val="0"/>
              <w:kinsoku/>
              <w:wordWrap/>
              <w:overflowPunct/>
              <w:topLinePunct w:val="0"/>
              <w:autoSpaceDE/>
              <w:autoSpaceDN/>
              <w:bidi w:val="0"/>
              <w:adjustRightInd/>
              <w:snapToGrid/>
              <w:ind w:firstLine="420" w:firstLineChars="200"/>
              <w:jc w:val="left"/>
              <w:textAlignment w:val="auto"/>
              <w:rPr>
                <w:rFonts w:hint="eastAsia" w:eastAsia="仿宋" w:cs="Times New Roman"/>
                <w:bCs w:val="0"/>
                <w:i w:val="0"/>
                <w:iCs w:val="0"/>
                <w:caps w:val="0"/>
                <w:color w:val="auto"/>
                <w:spacing w:val="0"/>
                <w:kern w:val="2"/>
                <w:sz w:val="21"/>
                <w:szCs w:val="21"/>
                <w:shd w:val="clear"/>
                <w:lang w:val="en-US" w:eastAsia="zh-CN" w:bidi="ar"/>
              </w:rPr>
            </w:pP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1.</w:t>
            </w:r>
            <w:r>
              <w:rPr>
                <w:rFonts w:hint="eastAsia" w:ascii="Times New Roman" w:hAnsi="Times New Roman" w:eastAsia="仿宋" w:cs="Times New Roman"/>
                <w:b/>
                <w:bCs/>
                <w:i w:val="0"/>
                <w:iCs w:val="0"/>
                <w:caps w:val="0"/>
                <w:color w:val="auto"/>
                <w:spacing w:val="0"/>
                <w:sz w:val="21"/>
                <w:szCs w:val="21"/>
                <w:shd w:val="clear"/>
                <w:lang w:val="en-US" w:eastAsia="zh-CN" w:bidi="ar"/>
              </w:rPr>
              <w:t>加强种质资源保护</w:t>
            </w:r>
            <w:r>
              <w:rPr>
                <w:rFonts w:hint="eastAsia" w:eastAsia="仿宋" w:cs="Times New Roman"/>
                <w:b/>
                <w:bCs/>
                <w:i w:val="0"/>
                <w:iCs w:val="0"/>
                <w:caps w:val="0"/>
                <w:color w:val="auto"/>
                <w:spacing w:val="0"/>
                <w:sz w:val="21"/>
                <w:szCs w:val="21"/>
                <w:shd w:val="clear"/>
                <w:lang w:val="en-US" w:eastAsia="zh-CN" w:bidi="ar"/>
              </w:rPr>
              <w:t>与</w:t>
            </w:r>
            <w:r>
              <w:rPr>
                <w:rFonts w:hint="eastAsia" w:ascii="Times New Roman" w:hAnsi="Times New Roman" w:eastAsia="仿宋" w:cs="Times New Roman"/>
                <w:b/>
                <w:bCs/>
                <w:i w:val="0"/>
                <w:iCs w:val="0"/>
                <w:caps w:val="0"/>
                <w:color w:val="auto"/>
                <w:spacing w:val="0"/>
                <w:sz w:val="21"/>
                <w:szCs w:val="21"/>
                <w:shd w:val="clear"/>
                <w:lang w:val="en-US" w:eastAsia="zh-CN" w:bidi="ar"/>
              </w:rPr>
              <w:t>利用。</w:t>
            </w:r>
            <w:r>
              <w:rPr>
                <w:rFonts w:hint="eastAsia" w:ascii="Times New Roman" w:hAnsi="Times New Roman" w:eastAsia="仿宋" w:cs="Times New Roman"/>
                <w:i w:val="0"/>
                <w:iCs w:val="0"/>
                <w:caps w:val="0"/>
                <w:color w:val="auto"/>
                <w:spacing w:val="0"/>
                <w:sz w:val="21"/>
                <w:szCs w:val="21"/>
                <w:shd w:val="clear"/>
                <w:lang w:val="en-US" w:eastAsia="zh-CN" w:bidi="ar"/>
              </w:rPr>
              <w:t>开展农业种质资源普查收集行动，建立动态更新的覆盖农作物、畜禽、水产、微生物的种质资源数据库，依托国家水禽基因库，继续担当水禽种质资源保护利用的“主力军”和“国家队”。</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高标准建设泰州农作物种质资源库，加强省级泰州地方特色农作物种质资源库建设，推动种质资源保存和创新利用提档升级，创制一批特异性、突破性种质资源</w:t>
            </w:r>
            <w:r>
              <w:rPr>
                <w:rFonts w:hint="eastAsia" w:eastAsia="仿宋" w:cs="Times New Roman"/>
                <w:bCs w:val="0"/>
                <w:i w:val="0"/>
                <w:iCs w:val="0"/>
                <w:caps w:val="0"/>
                <w:color w:val="auto"/>
                <w:spacing w:val="0"/>
                <w:kern w:val="2"/>
                <w:sz w:val="21"/>
                <w:szCs w:val="21"/>
                <w:shd w:val="clear"/>
                <w:lang w:val="en-US" w:eastAsia="zh-CN" w:bidi="ar"/>
              </w:rPr>
              <w:t>。</w:t>
            </w:r>
          </w:p>
          <w:p w14:paraId="33A593AC">
            <w:pPr>
              <w:keepNext w:val="0"/>
              <w:keepLines w:val="0"/>
              <w:widowControl/>
              <w:suppressLineNumbers w:val="0"/>
              <w:ind w:firstLine="422" w:firstLineChars="200"/>
              <w:jc w:val="left"/>
              <w:rPr>
                <w:rFonts w:hint="eastAsia" w:eastAsia="仿宋" w:cs="Times New Roman"/>
                <w:i w:val="0"/>
                <w:iCs w:val="0"/>
                <w:caps w:val="0"/>
                <w:color w:val="auto"/>
                <w:spacing w:val="0"/>
                <w:sz w:val="21"/>
                <w:szCs w:val="21"/>
                <w:shd w:val="clear"/>
                <w:lang w:eastAsia="zh-CN" w:bidi="ar"/>
              </w:rPr>
            </w:pPr>
            <w:r>
              <w:rPr>
                <w:rFonts w:hint="eastAsia" w:eastAsia="仿宋" w:cs="Times New Roman"/>
                <w:b/>
                <w:bCs/>
                <w:i w:val="0"/>
                <w:iCs w:val="0"/>
                <w:caps w:val="0"/>
                <w:color w:val="auto"/>
                <w:spacing w:val="0"/>
                <w:sz w:val="21"/>
                <w:szCs w:val="21"/>
                <w:shd w:val="clear"/>
                <w:lang w:val="en-US" w:eastAsia="zh-CN" w:bidi="ar"/>
              </w:rPr>
              <w:t>2.</w:t>
            </w:r>
            <w:r>
              <w:rPr>
                <w:rFonts w:hint="eastAsia" w:ascii="Times New Roman" w:hAnsi="Times New Roman" w:eastAsia="仿宋" w:cs="Times New Roman"/>
                <w:b/>
                <w:bCs/>
                <w:i w:val="0"/>
                <w:iCs w:val="0"/>
                <w:caps w:val="0"/>
                <w:color w:val="auto"/>
                <w:spacing w:val="0"/>
                <w:sz w:val="21"/>
                <w:szCs w:val="21"/>
                <w:shd w:val="clear"/>
                <w:lang w:val="en-US" w:eastAsia="zh-CN" w:bidi="ar"/>
              </w:rPr>
              <w:t>聚焦种业自主创新攻关。</w:t>
            </w:r>
            <w:r>
              <w:rPr>
                <w:rFonts w:hint="eastAsia" w:ascii="Times New Roman" w:hAnsi="Times New Roman" w:eastAsia="仿宋" w:cs="Times New Roman"/>
                <w:b w:val="0"/>
                <w:bCs w:val="0"/>
                <w:i w:val="0"/>
                <w:iCs w:val="0"/>
                <w:caps w:val="0"/>
                <w:color w:val="auto"/>
                <w:spacing w:val="0"/>
                <w:sz w:val="21"/>
                <w:szCs w:val="21"/>
                <w:shd w:val="clear"/>
                <w:lang w:val="en-US" w:eastAsia="zh-CN" w:bidi="ar"/>
              </w:rPr>
              <w:t>聚焦水禽、水稻保种、育种关键领域，开展关键核心技术攻关，</w:t>
            </w:r>
            <w:r>
              <w:rPr>
                <w:rFonts w:hint="eastAsia" w:ascii="Times New Roman" w:hAnsi="Times New Roman" w:eastAsia="仿宋" w:cs="Times New Roman"/>
                <w:i w:val="0"/>
                <w:iCs w:val="0"/>
                <w:caps w:val="0"/>
                <w:color w:val="auto"/>
                <w:spacing w:val="0"/>
                <w:sz w:val="21"/>
                <w:szCs w:val="21"/>
                <w:shd w:val="clear"/>
                <w:lang w:val="en-US" w:eastAsia="zh-CN" w:bidi="ar"/>
              </w:rPr>
              <w:t>加快推进省生物育种中心建设，搭建高通量基因分型、全基因组选择、基因转化、基因编辑、农作物品质分析、生物大数据分析和畜禽资源特殊性状评估及抗病育种等技术平台</w:t>
            </w:r>
            <w:r>
              <w:rPr>
                <w:rFonts w:hint="eastAsia" w:eastAsia="仿宋" w:cs="Times New Roman"/>
                <w:i w:val="0"/>
                <w:iCs w:val="0"/>
                <w:caps w:val="0"/>
                <w:color w:val="auto"/>
                <w:spacing w:val="0"/>
                <w:sz w:val="21"/>
                <w:szCs w:val="21"/>
                <w:shd w:val="clear"/>
                <w:lang w:val="en-US" w:eastAsia="zh-CN" w:bidi="ar"/>
              </w:rPr>
              <w:t>，</w:t>
            </w:r>
            <w:r>
              <w:rPr>
                <w:rFonts w:hint="eastAsia" w:ascii="Times New Roman" w:hAnsi="Times New Roman" w:eastAsia="仿宋" w:cs="Times New Roman"/>
                <w:i w:val="0"/>
                <w:iCs w:val="0"/>
                <w:caps w:val="0"/>
                <w:color w:val="auto"/>
                <w:spacing w:val="0"/>
                <w:sz w:val="21"/>
                <w:szCs w:val="21"/>
                <w:shd w:val="clear"/>
                <w:lang w:eastAsia="zh-CN" w:bidi="ar"/>
              </w:rPr>
              <w:t>因地制宜开展特色农作物和畜禽等前沿及关键技术研究和成果转化、孵化</w:t>
            </w:r>
            <w:r>
              <w:rPr>
                <w:rFonts w:hint="eastAsia" w:eastAsia="仿宋" w:cs="Times New Roman"/>
                <w:i w:val="0"/>
                <w:iCs w:val="0"/>
                <w:caps w:val="0"/>
                <w:color w:val="auto"/>
                <w:spacing w:val="0"/>
                <w:sz w:val="21"/>
                <w:szCs w:val="21"/>
                <w:shd w:val="clear"/>
                <w:lang w:eastAsia="zh-CN" w:bidi="ar"/>
              </w:rPr>
              <w:t>，</w:t>
            </w:r>
            <w:r>
              <w:rPr>
                <w:rFonts w:hint="eastAsia" w:ascii="Times New Roman" w:hAnsi="Times New Roman" w:eastAsia="仿宋" w:cs="Times New Roman"/>
                <w:i w:val="0"/>
                <w:iCs w:val="0"/>
                <w:caps w:val="0"/>
                <w:color w:val="auto"/>
                <w:spacing w:val="0"/>
                <w:sz w:val="21"/>
                <w:szCs w:val="21"/>
                <w:shd w:val="clear"/>
                <w:lang w:eastAsia="zh-CN" w:bidi="ar"/>
              </w:rPr>
              <w:t>实施省种业振兴“揭榜挂帅”项目，提升种业核心竞争力</w:t>
            </w:r>
            <w:r>
              <w:rPr>
                <w:rFonts w:hint="eastAsia" w:eastAsia="仿宋" w:cs="Times New Roman"/>
                <w:i w:val="0"/>
                <w:iCs w:val="0"/>
                <w:caps w:val="0"/>
                <w:color w:val="auto"/>
                <w:spacing w:val="0"/>
                <w:sz w:val="21"/>
                <w:szCs w:val="21"/>
                <w:shd w:val="clear"/>
                <w:lang w:eastAsia="zh-CN" w:bidi="ar"/>
              </w:rPr>
              <w:t>。</w:t>
            </w:r>
          </w:p>
          <w:p w14:paraId="7E687BFA">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Cs w:val="0"/>
                <w:i w:val="0"/>
                <w:iCs w:val="0"/>
                <w:caps w:val="0"/>
                <w:color w:val="auto"/>
                <w:spacing w:val="0"/>
                <w:kern w:val="2"/>
                <w:sz w:val="21"/>
                <w:szCs w:val="21"/>
                <w:shd w:val="clear"/>
                <w:lang w:val="en-US" w:eastAsia="zh-CN" w:bidi="ar"/>
              </w:rPr>
            </w:pPr>
            <w:r>
              <w:rPr>
                <w:rFonts w:hint="eastAsia" w:eastAsia="仿宋" w:cs="Times New Roman"/>
                <w:b/>
                <w:bCs/>
                <w:i w:val="0"/>
                <w:iCs w:val="0"/>
                <w:caps w:val="0"/>
                <w:color w:val="auto"/>
                <w:spacing w:val="0"/>
                <w:kern w:val="2"/>
                <w:sz w:val="21"/>
                <w:szCs w:val="21"/>
                <w:shd w:val="clear"/>
                <w:lang w:val="en-US" w:eastAsia="zh-CN" w:bidi="ar"/>
              </w:rPr>
              <w:t>3</w:t>
            </w:r>
            <w:r>
              <w:rPr>
                <w:rFonts w:hint="eastAsia" w:ascii="Times New Roman" w:hAnsi="Times New Roman" w:eastAsia="仿宋" w:cs="Times New Roman"/>
                <w:b/>
                <w:bCs/>
                <w:i w:val="0"/>
                <w:iCs w:val="0"/>
                <w:caps w:val="0"/>
                <w:color w:val="auto"/>
                <w:spacing w:val="0"/>
                <w:kern w:val="2"/>
                <w:sz w:val="21"/>
                <w:szCs w:val="21"/>
                <w:shd w:val="clear"/>
                <w:lang w:val="en-US" w:eastAsia="zh-CN" w:bidi="ar"/>
              </w:rPr>
              <w:t>.</w:t>
            </w:r>
            <w:r>
              <w:rPr>
                <w:rFonts w:hint="eastAsia" w:eastAsia="仿宋" w:cs="Times New Roman"/>
                <w:b/>
                <w:bCs/>
                <w:i w:val="0"/>
                <w:iCs w:val="0"/>
                <w:caps w:val="0"/>
                <w:color w:val="auto"/>
                <w:spacing w:val="0"/>
                <w:kern w:val="2"/>
                <w:sz w:val="21"/>
                <w:szCs w:val="21"/>
                <w:shd w:val="clear"/>
                <w:lang w:val="en-US" w:eastAsia="zh-CN" w:bidi="ar"/>
              </w:rPr>
              <w:t>强化</w:t>
            </w:r>
            <w:r>
              <w:rPr>
                <w:rFonts w:hint="eastAsia" w:ascii="Times New Roman" w:hAnsi="Times New Roman" w:eastAsia="仿宋" w:cs="Times New Roman"/>
                <w:b/>
                <w:bCs/>
                <w:i w:val="0"/>
                <w:iCs w:val="0"/>
                <w:caps w:val="0"/>
                <w:color w:val="auto"/>
                <w:spacing w:val="0"/>
                <w:kern w:val="2"/>
                <w:sz w:val="21"/>
                <w:szCs w:val="21"/>
                <w:shd w:val="clear"/>
                <w:lang w:val="en-US" w:eastAsia="zh-CN" w:bidi="ar"/>
              </w:rPr>
              <w:t>新品种试验示范推广。</w:t>
            </w:r>
            <w:r>
              <w:rPr>
                <w:rFonts w:hint="eastAsia" w:eastAsia="仿宋" w:cs="Times New Roman"/>
                <w:bCs w:val="0"/>
                <w:i w:val="0"/>
                <w:iCs w:val="0"/>
                <w:caps w:val="0"/>
                <w:color w:val="auto"/>
                <w:spacing w:val="0"/>
                <w:kern w:val="2"/>
                <w:sz w:val="21"/>
                <w:szCs w:val="21"/>
                <w:shd w:val="clear"/>
                <w:lang w:val="en-US" w:eastAsia="zh-CN" w:bidi="ar"/>
              </w:rPr>
              <w:t>推进</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农作物品种展示评价基地建设，扎实开展品种展示示范和综合性测试；以小麦和水稻新品种统一集中展示为抓手，实行“统一品种、集中示范、擂台选种、主推发布”，开展大豆、玉米优良品种试验示范；鼓励用好良种补贴、定向补贴、推广后补助等政策，促进高产优质高抗品种推广</w:t>
            </w:r>
            <w:r>
              <w:rPr>
                <w:rFonts w:hint="eastAsia" w:eastAsia="仿宋" w:cs="Times New Roman"/>
                <w:bCs w:val="0"/>
                <w:i w:val="0"/>
                <w:iCs w:val="0"/>
                <w:caps w:val="0"/>
                <w:color w:val="auto"/>
                <w:spacing w:val="0"/>
                <w:kern w:val="2"/>
                <w:sz w:val="21"/>
                <w:szCs w:val="21"/>
                <w:shd w:val="clear"/>
                <w:lang w:val="en-US" w:eastAsia="zh-CN" w:bidi="ar"/>
              </w:rPr>
              <w:t>。</w:t>
            </w:r>
          </w:p>
          <w:p w14:paraId="53A53F6A">
            <w:pPr>
              <w:keepNext w:val="0"/>
              <w:keepLines w:val="0"/>
              <w:widowControl/>
              <w:suppressLineNumbers w:val="0"/>
              <w:ind w:firstLine="422" w:firstLineChars="200"/>
              <w:jc w:val="left"/>
              <w:rPr>
                <w:rFonts w:hint="eastAsia" w:ascii="Times New Roman" w:hAnsi="Times New Roman" w:eastAsia="仿宋" w:cs="黑体"/>
                <w:bCs/>
                <w:color w:val="auto"/>
                <w:spacing w:val="18"/>
                <w:sz w:val="32"/>
                <w:szCs w:val="28"/>
                <w:vertAlign w:val="baseline"/>
                <w:lang w:val="en-US" w:eastAsia="zh-CN"/>
              </w:rPr>
            </w:pPr>
            <w:r>
              <w:rPr>
                <w:rFonts w:hint="eastAsia" w:eastAsia="仿宋" w:cs="Times New Roman"/>
                <w:b/>
                <w:bCs/>
                <w:i w:val="0"/>
                <w:iCs w:val="0"/>
                <w:caps w:val="0"/>
                <w:color w:val="auto"/>
                <w:spacing w:val="0"/>
                <w:sz w:val="21"/>
                <w:szCs w:val="21"/>
                <w:shd w:val="clear"/>
                <w:lang w:val="en-US" w:eastAsia="zh-CN" w:bidi="ar"/>
              </w:rPr>
              <w:t>4.</w:t>
            </w:r>
            <w:r>
              <w:rPr>
                <w:rFonts w:hint="eastAsia" w:ascii="Times New Roman" w:hAnsi="Times New Roman" w:eastAsia="仿宋" w:cs="Times New Roman"/>
                <w:b/>
                <w:bCs/>
                <w:i w:val="0"/>
                <w:iCs w:val="0"/>
                <w:caps w:val="0"/>
                <w:color w:val="auto"/>
                <w:spacing w:val="0"/>
                <w:sz w:val="21"/>
                <w:szCs w:val="21"/>
                <w:shd w:val="clear"/>
                <w:lang w:val="en-US" w:eastAsia="zh-CN" w:bidi="ar"/>
              </w:rPr>
              <w:t>培育</w:t>
            </w:r>
            <w:r>
              <w:rPr>
                <w:rFonts w:hint="eastAsia" w:ascii="Times New Roman" w:hAnsi="Times New Roman" w:eastAsia="仿宋" w:cs="Times New Roman"/>
                <w:b/>
                <w:bCs/>
                <w:i w:val="0"/>
                <w:iCs w:val="0"/>
                <w:caps w:val="0"/>
                <w:color w:val="auto"/>
                <w:spacing w:val="0"/>
                <w:sz w:val="21"/>
                <w:szCs w:val="21"/>
                <w:shd w:val="clear"/>
                <w:lang w:eastAsia="zh-CN" w:bidi="ar"/>
              </w:rPr>
              <w:t>壮大种业阵型企业。</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聚焦种业阵型企业</w:t>
            </w:r>
            <w:r>
              <w:rPr>
                <w:rFonts w:hint="eastAsia" w:eastAsia="仿宋" w:cs="Times New Roman"/>
                <w:bCs w:val="0"/>
                <w:i w:val="0"/>
                <w:iCs w:val="0"/>
                <w:caps w:val="0"/>
                <w:color w:val="auto"/>
                <w:spacing w:val="0"/>
                <w:kern w:val="2"/>
                <w:sz w:val="21"/>
                <w:szCs w:val="21"/>
                <w:shd w:val="clear"/>
                <w:lang w:val="en-US" w:eastAsia="zh-CN" w:bidi="ar"/>
              </w:rPr>
              <w:t>，</w:t>
            </w:r>
            <w:r>
              <w:rPr>
                <w:rFonts w:hint="eastAsia" w:ascii="Times New Roman" w:hAnsi="Times New Roman" w:eastAsia="仿宋" w:cs="Times New Roman"/>
                <w:bCs w:val="0"/>
                <w:i w:val="0"/>
                <w:iCs w:val="0"/>
                <w:caps w:val="0"/>
                <w:color w:val="auto"/>
                <w:spacing w:val="0"/>
                <w:kern w:val="2"/>
                <w:sz w:val="21"/>
                <w:szCs w:val="21"/>
                <w:shd w:val="clear"/>
                <w:lang w:val="en-US" w:eastAsia="zh-CN" w:bidi="ar"/>
              </w:rPr>
              <w:t>分类施策精准培育</w:t>
            </w:r>
            <w:r>
              <w:rPr>
                <w:rFonts w:hint="eastAsia" w:eastAsia="仿宋" w:cs="Times New Roman"/>
                <w:bCs w:val="0"/>
                <w:i w:val="0"/>
                <w:iCs w:val="0"/>
                <w:caps w:val="0"/>
                <w:color w:val="auto"/>
                <w:spacing w:val="0"/>
                <w:kern w:val="2"/>
                <w:sz w:val="21"/>
                <w:szCs w:val="21"/>
                <w:shd w:val="clear"/>
                <w:lang w:val="en-US" w:eastAsia="zh-CN" w:bidi="ar"/>
              </w:rPr>
              <w:t>，</w:t>
            </w:r>
            <w:r>
              <w:rPr>
                <w:rFonts w:hint="eastAsia" w:ascii="Times New Roman" w:hAnsi="Times New Roman" w:eastAsia="仿宋" w:cs="Times New Roman"/>
                <w:i w:val="0"/>
                <w:iCs w:val="0"/>
                <w:caps w:val="0"/>
                <w:color w:val="auto"/>
                <w:spacing w:val="0"/>
                <w:sz w:val="21"/>
                <w:szCs w:val="21"/>
                <w:shd w:val="clear"/>
                <w:lang w:eastAsia="zh-CN" w:bidi="ar"/>
              </w:rPr>
              <w:t>建立“雏鹰—瞪羚—领军”三级</w:t>
            </w:r>
            <w:r>
              <w:rPr>
                <w:rFonts w:hint="eastAsia" w:ascii="Times New Roman" w:hAnsi="Times New Roman" w:eastAsia="仿宋" w:cs="Times New Roman"/>
                <w:i w:val="0"/>
                <w:iCs w:val="0"/>
                <w:caps w:val="0"/>
                <w:color w:val="auto"/>
                <w:spacing w:val="0"/>
                <w:sz w:val="21"/>
                <w:szCs w:val="21"/>
                <w:shd w:val="clear"/>
                <w:lang w:val="en-US" w:eastAsia="zh-CN" w:bidi="ar"/>
              </w:rPr>
              <w:t>种业企业</w:t>
            </w:r>
            <w:r>
              <w:rPr>
                <w:rFonts w:hint="eastAsia" w:ascii="Times New Roman" w:hAnsi="Times New Roman" w:eastAsia="仿宋" w:cs="Times New Roman"/>
                <w:i w:val="0"/>
                <w:iCs w:val="0"/>
                <w:caps w:val="0"/>
                <w:color w:val="auto"/>
                <w:spacing w:val="0"/>
                <w:sz w:val="21"/>
                <w:szCs w:val="21"/>
                <w:shd w:val="clear"/>
                <w:lang w:eastAsia="zh-CN" w:bidi="ar"/>
              </w:rPr>
              <w:t>培育体系，遴选具有潜力的“种业雏鹰”企业，给予初创期专项扶持</w:t>
            </w:r>
            <w:r>
              <w:rPr>
                <w:rFonts w:hint="eastAsia" w:eastAsia="仿宋" w:cs="Times New Roman"/>
                <w:i w:val="0"/>
                <w:iCs w:val="0"/>
                <w:caps w:val="0"/>
                <w:color w:val="auto"/>
                <w:spacing w:val="0"/>
                <w:sz w:val="21"/>
                <w:szCs w:val="21"/>
                <w:shd w:val="clear"/>
                <w:lang w:eastAsia="zh-CN" w:bidi="ar"/>
              </w:rPr>
              <w:t>，</w:t>
            </w:r>
            <w:r>
              <w:rPr>
                <w:rFonts w:hint="eastAsia" w:ascii="Times New Roman" w:hAnsi="Times New Roman" w:eastAsia="仿宋" w:cs="Times New Roman"/>
                <w:i w:val="0"/>
                <w:iCs w:val="0"/>
                <w:caps w:val="0"/>
                <w:color w:val="auto"/>
                <w:spacing w:val="0"/>
                <w:sz w:val="21"/>
                <w:szCs w:val="21"/>
                <w:shd w:val="clear"/>
                <w:lang w:eastAsia="zh-CN" w:bidi="ar"/>
              </w:rPr>
              <w:t>重点培育“种业瞪羚”企业，推动技术创新突破，打造具有全国影响力的种业领军企业，</w:t>
            </w:r>
            <w:r>
              <w:rPr>
                <w:rFonts w:hint="eastAsia" w:ascii="Times New Roman" w:hAnsi="Times New Roman" w:eastAsia="仿宋" w:cs="Times New Roman"/>
                <w:i w:val="0"/>
                <w:iCs w:val="0"/>
                <w:caps w:val="0"/>
                <w:color w:val="auto"/>
                <w:spacing w:val="0"/>
                <w:sz w:val="21"/>
                <w:szCs w:val="21"/>
                <w:shd w:val="clear"/>
                <w:lang w:val="en-US" w:eastAsia="zh-CN" w:bidi="ar"/>
              </w:rPr>
              <w:t>实施差异化的扶持政策</w:t>
            </w:r>
            <w:r>
              <w:rPr>
                <w:rFonts w:hint="eastAsia" w:eastAsia="仿宋" w:cs="Times New Roman"/>
                <w:i w:val="0"/>
                <w:iCs w:val="0"/>
                <w:caps w:val="0"/>
                <w:color w:val="auto"/>
                <w:spacing w:val="0"/>
                <w:sz w:val="21"/>
                <w:szCs w:val="21"/>
                <w:shd w:val="clear"/>
                <w:lang w:val="en-US" w:eastAsia="zh-CN" w:bidi="ar"/>
              </w:rPr>
              <w:t>，</w:t>
            </w:r>
            <w:r>
              <w:rPr>
                <w:rFonts w:hint="eastAsia" w:ascii="Times New Roman" w:hAnsi="Times New Roman" w:eastAsia="仿宋" w:cs="Times New Roman"/>
                <w:i w:val="0"/>
                <w:iCs w:val="0"/>
                <w:caps w:val="0"/>
                <w:color w:val="auto"/>
                <w:spacing w:val="0"/>
                <w:sz w:val="21"/>
                <w:szCs w:val="21"/>
                <w:shd w:val="clear"/>
                <w:lang w:eastAsia="zh-CN" w:bidi="ar"/>
              </w:rPr>
              <w:t>强化对优势企业“</w:t>
            </w:r>
            <w:r>
              <w:rPr>
                <w:rFonts w:hint="eastAsia" w:ascii="Times New Roman" w:hAnsi="Times New Roman" w:eastAsia="仿宋" w:cs="Times New Roman"/>
                <w:i w:val="0"/>
                <w:iCs w:val="0"/>
                <w:caps w:val="0"/>
                <w:color w:val="auto"/>
                <w:spacing w:val="0"/>
                <w:sz w:val="21"/>
                <w:szCs w:val="21"/>
                <w:shd w:val="clear"/>
                <w:lang w:val="en-US" w:eastAsia="zh-CN" w:bidi="ar"/>
              </w:rPr>
              <w:t>一企一策”精准服务</w:t>
            </w:r>
            <w:r>
              <w:rPr>
                <w:rFonts w:hint="eastAsia" w:ascii="Times New Roman" w:hAnsi="Times New Roman" w:eastAsia="仿宋" w:cs="Times New Roman"/>
                <w:i w:val="0"/>
                <w:iCs w:val="0"/>
                <w:caps w:val="0"/>
                <w:color w:val="auto"/>
                <w:spacing w:val="0"/>
                <w:sz w:val="21"/>
                <w:szCs w:val="21"/>
                <w:shd w:val="clear"/>
                <w:lang w:eastAsia="zh-CN" w:bidi="ar"/>
              </w:rPr>
              <w:t>，着力打造研发能力强、产业带动广的航母型领军企业、“隐形冠军”企业以及专业化平台企业</w:t>
            </w:r>
            <w:r>
              <w:rPr>
                <w:rFonts w:hint="eastAsia" w:eastAsia="仿宋" w:cs="Times New Roman"/>
                <w:i w:val="0"/>
                <w:iCs w:val="0"/>
                <w:caps w:val="0"/>
                <w:color w:val="auto"/>
                <w:spacing w:val="0"/>
                <w:sz w:val="21"/>
                <w:szCs w:val="21"/>
                <w:shd w:val="clear"/>
                <w:lang w:eastAsia="zh-CN" w:bidi="ar"/>
              </w:rPr>
              <w:t>。</w:t>
            </w:r>
          </w:p>
        </w:tc>
      </w:tr>
    </w:tbl>
    <w:p w14:paraId="3B92E94B">
      <w:pPr>
        <w:rPr>
          <w:rFonts w:hint="default" w:ascii="Times New Roman" w:eastAsia="仿宋"/>
          <w:b w:val="0"/>
          <w:bCs w:val="0"/>
          <w:color w:val="auto"/>
          <w:highlight w:val="yellow"/>
          <w:lang w:val="en-US" w:eastAsia="zh-CN"/>
        </w:rPr>
      </w:pPr>
      <w:r>
        <w:rPr>
          <w:rFonts w:hint="eastAsia" w:ascii="Times New Roman" w:eastAsia="仿宋"/>
          <w:b/>
          <w:bCs/>
          <w:color w:val="auto"/>
          <w:lang w:val="en-US" w:eastAsia="zh-CN"/>
        </w:rPr>
        <w:t>提高农业科技创新水平。</w:t>
      </w:r>
      <w:r>
        <w:rPr>
          <w:rFonts w:hint="eastAsia" w:ascii="Times New Roman" w:eastAsia="仿宋"/>
          <w:b w:val="0"/>
          <w:bCs w:val="0"/>
          <w:color w:val="auto"/>
          <w:highlight w:val="none"/>
          <w:lang w:val="en-US" w:eastAsia="zh-CN"/>
        </w:rPr>
        <w:t>围绕生物育种、智慧农业、农机</w:t>
      </w:r>
      <w:r>
        <w:rPr>
          <w:rFonts w:hint="eastAsia"/>
          <w:b w:val="0"/>
          <w:bCs w:val="0"/>
          <w:color w:val="auto"/>
          <w:highlight w:val="none"/>
          <w:lang w:val="en-US" w:eastAsia="zh-CN"/>
        </w:rPr>
        <w:t>装</w:t>
      </w:r>
      <w:r>
        <w:rPr>
          <w:rFonts w:hint="eastAsia" w:ascii="Times New Roman" w:eastAsia="仿宋"/>
          <w:b w:val="0"/>
          <w:bCs w:val="0"/>
          <w:color w:val="auto"/>
          <w:highlight w:val="none"/>
          <w:lang w:val="en-US" w:eastAsia="zh-CN"/>
        </w:rPr>
        <w:t>备、</w:t>
      </w:r>
      <w:r>
        <w:rPr>
          <w:rFonts w:hint="eastAsia"/>
          <w:b w:val="0"/>
          <w:bCs w:val="0"/>
          <w:color w:val="auto"/>
          <w:highlight w:val="none"/>
          <w:lang w:val="en-US" w:eastAsia="zh-CN"/>
        </w:rPr>
        <w:t>农产品精深加工、食品安全与营养健康产业</w:t>
      </w:r>
      <w:r>
        <w:rPr>
          <w:rFonts w:hint="eastAsia" w:ascii="Times New Roman" w:eastAsia="仿宋"/>
          <w:b w:val="0"/>
          <w:bCs w:val="0"/>
          <w:color w:val="auto"/>
          <w:highlight w:val="none"/>
          <w:lang w:val="en-US" w:eastAsia="zh-CN"/>
        </w:rPr>
        <w:t>等</w:t>
      </w:r>
      <w:r>
        <w:rPr>
          <w:rFonts w:hint="eastAsia"/>
          <w:b w:val="0"/>
          <w:bCs w:val="0"/>
          <w:color w:val="auto"/>
          <w:highlight w:val="none"/>
          <w:lang w:val="en-US" w:eastAsia="zh-CN"/>
        </w:rPr>
        <w:t>前沿</w:t>
      </w:r>
      <w:r>
        <w:rPr>
          <w:rFonts w:hint="eastAsia" w:ascii="Times New Roman" w:eastAsia="仿宋"/>
          <w:b w:val="0"/>
          <w:bCs w:val="0"/>
          <w:color w:val="auto"/>
          <w:highlight w:val="none"/>
          <w:lang w:val="en-US" w:eastAsia="zh-CN"/>
        </w:rPr>
        <w:t>领域，深化与江苏省农科院、南京农业大学、江南大学等科研院所的战略合作，深入推进关键核心技术与产品研发。</w:t>
      </w:r>
      <w:r>
        <w:rPr>
          <w:rFonts w:hint="eastAsia"/>
          <w:b w:val="0"/>
          <w:bCs w:val="0"/>
          <w:color w:val="auto"/>
          <w:highlight w:val="none"/>
          <w:lang w:val="en-US" w:eastAsia="zh-CN"/>
        </w:rPr>
        <w:t>强化企业科技创新主体地位，</w:t>
      </w:r>
      <w:r>
        <w:rPr>
          <w:rFonts w:hint="eastAsia" w:ascii="Times New Roman" w:eastAsia="仿宋"/>
          <w:b w:val="0"/>
          <w:bCs w:val="0"/>
          <w:color w:val="auto"/>
          <w:highlight w:val="none"/>
          <w:lang w:val="en-US" w:eastAsia="zh-CN"/>
        </w:rPr>
        <w:t>注重中小企业成长与未来赛道的“生态培育”，聚力打造“引才—育企—兴产”的良性循环</w:t>
      </w:r>
      <w:r>
        <w:rPr>
          <w:rFonts w:hint="eastAsia"/>
          <w:b w:val="0"/>
          <w:bCs w:val="0"/>
          <w:color w:val="auto"/>
          <w:highlight w:val="none"/>
          <w:lang w:val="en-US" w:eastAsia="zh-CN"/>
        </w:rPr>
        <w:t>机制</w:t>
      </w:r>
      <w:r>
        <w:rPr>
          <w:rFonts w:hint="eastAsia" w:ascii="Times New Roman" w:eastAsia="仿宋"/>
          <w:b w:val="0"/>
          <w:bCs w:val="0"/>
          <w:color w:val="auto"/>
          <w:highlight w:val="none"/>
          <w:lang w:val="en-US" w:eastAsia="zh-CN"/>
        </w:rPr>
        <w:t>。支持重点实验室、技术创新中心等重大科技创新平台集聚，鼓励</w:t>
      </w:r>
      <w:r>
        <w:rPr>
          <w:rFonts w:hint="eastAsia"/>
          <w:b w:val="0"/>
          <w:bCs w:val="0"/>
          <w:color w:val="auto"/>
          <w:highlight w:val="none"/>
          <w:lang w:val="en-US" w:eastAsia="zh-CN"/>
        </w:rPr>
        <w:t>本地</w:t>
      </w:r>
      <w:r>
        <w:rPr>
          <w:rFonts w:hint="eastAsia" w:ascii="Times New Roman" w:eastAsia="仿宋"/>
          <w:b w:val="0"/>
          <w:bCs w:val="0"/>
          <w:color w:val="auto"/>
          <w:highlight w:val="none"/>
          <w:lang w:val="en-US" w:eastAsia="zh-CN"/>
        </w:rPr>
        <w:t>科研机构</w:t>
      </w:r>
      <w:r>
        <w:rPr>
          <w:rFonts w:hint="eastAsia"/>
          <w:b w:val="0"/>
          <w:bCs w:val="0"/>
          <w:color w:val="auto"/>
          <w:highlight w:val="none"/>
          <w:lang w:val="en-US" w:eastAsia="zh-CN"/>
        </w:rPr>
        <w:t>与</w:t>
      </w:r>
      <w:r>
        <w:rPr>
          <w:rFonts w:hint="eastAsia" w:ascii="Times New Roman" w:eastAsia="仿宋"/>
          <w:b w:val="0"/>
          <w:bCs w:val="0"/>
          <w:color w:val="auto"/>
          <w:highlight w:val="none"/>
          <w:lang w:val="en-US" w:eastAsia="zh-CN"/>
        </w:rPr>
        <w:t>涉农高校和企业共建中试基地、技术成果转化中心</w:t>
      </w:r>
      <w:r>
        <w:rPr>
          <w:rFonts w:hint="eastAsia"/>
          <w:b w:val="0"/>
          <w:bCs w:val="0"/>
          <w:color w:val="auto"/>
          <w:highlight w:val="none"/>
          <w:lang w:val="en-US" w:eastAsia="zh-CN"/>
        </w:rPr>
        <w:t>，建设一批都市现代农业示范基地，加强农业科技新场景应用，构建“基础研究—技术攻关—成果转化—场景应用”全链条创新生态，激活农业领域新质生产力。</w:t>
      </w:r>
    </w:p>
    <w:p w14:paraId="6A4CEECE">
      <w:pPr>
        <w:rPr>
          <w:rFonts w:hint="eastAsia" w:ascii="Times New Roman" w:eastAsia="仿宋"/>
          <w:b w:val="0"/>
          <w:bCs w:val="0"/>
          <w:lang w:val="en-US" w:eastAsia="zh-CN"/>
        </w:rPr>
      </w:pPr>
      <w:r>
        <w:rPr>
          <w:rFonts w:hint="eastAsia" w:ascii="Times New Roman" w:eastAsia="仿宋"/>
          <w:b/>
          <w:bCs/>
          <w:lang w:val="en-US" w:eastAsia="zh-CN"/>
        </w:rPr>
        <w:t>推进农产品加工集中区建设。</w:t>
      </w:r>
      <w:r>
        <w:rPr>
          <w:rFonts w:hint="default"/>
          <w:b w:val="0"/>
          <w:bCs w:val="0"/>
          <w:lang w:val="en-US" w:eastAsia="zh-CN"/>
        </w:rPr>
        <w:t>聚焦健康食品、宠物经济、微生物科技、农业智能装备四大核心板块</w:t>
      </w:r>
      <w:r>
        <w:rPr>
          <w:rFonts w:hint="eastAsia"/>
          <w:b w:val="0"/>
          <w:bCs w:val="0"/>
          <w:lang w:val="en-US" w:eastAsia="zh-CN"/>
        </w:rPr>
        <w:t>，积极发展农产品加工业，招引科技含量高、经济效益好和示范带动性强的农产品精深加工、生物科技项目，形成集聚效应</w:t>
      </w:r>
      <w:r>
        <w:rPr>
          <w:rFonts w:hint="eastAsia" w:ascii="Times New Roman" w:eastAsia="仿宋"/>
          <w:b w:val="0"/>
          <w:bCs w:val="0"/>
          <w:lang w:val="en-US" w:eastAsia="zh-CN"/>
        </w:rPr>
        <w:t>。策应大健康产业发展趋势，</w:t>
      </w:r>
      <w:r>
        <w:rPr>
          <w:rFonts w:hint="default"/>
          <w:b w:val="0"/>
          <w:bCs w:val="0"/>
          <w:lang w:val="en-US" w:eastAsia="zh-CN"/>
        </w:rPr>
        <w:t>加快营养型食物研发和加工，发展药食同源产品、养生食品和功能性食品加工，促进动保产业与生物制药、特医食品等产业协同创新，打造涵盖预防、治疗、营养等功能的动保产品体系，通过提升产品科技含量和附加值。针对</w:t>
      </w:r>
      <w:r>
        <w:rPr>
          <w:rFonts w:hint="eastAsia"/>
          <w:b w:val="0"/>
          <w:bCs w:val="0"/>
          <w:lang w:val="en-US" w:eastAsia="zh-CN"/>
        </w:rPr>
        <w:t>“</w:t>
      </w:r>
      <w:r>
        <w:rPr>
          <w:rFonts w:hint="default"/>
          <w:b w:val="0"/>
          <w:bCs w:val="0"/>
          <w:lang w:val="en-US" w:eastAsia="zh-CN"/>
        </w:rPr>
        <w:t>三水一花</w:t>
      </w:r>
      <w:r>
        <w:rPr>
          <w:rFonts w:hint="eastAsia"/>
          <w:b w:val="0"/>
          <w:bCs w:val="0"/>
          <w:lang w:val="en-US" w:eastAsia="zh-CN"/>
        </w:rPr>
        <w:t>”</w:t>
      </w:r>
      <w:r>
        <w:rPr>
          <w:rFonts w:hint="default"/>
          <w:b w:val="0"/>
          <w:bCs w:val="0"/>
          <w:lang w:val="en-US" w:eastAsia="zh-CN"/>
        </w:rPr>
        <w:t>全产业链薄弱环节，</w:t>
      </w:r>
      <w:r>
        <w:rPr>
          <w:rFonts w:hint="eastAsia" w:ascii="Times New Roman" w:eastAsia="仿宋"/>
          <w:b w:val="0"/>
          <w:bCs w:val="0"/>
          <w:lang w:val="en-US" w:eastAsia="zh-CN"/>
        </w:rPr>
        <w:t>精准对接行业领军企业、细分领域冠军、大院大所等，靶向招引一批高质量的“加、新、高”重点项目落户，实施“以商招商”“产业链招商”，着力引进产业链龙头和链主项目。</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EE0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DE1FFB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仿宋" w:cs="Times New Roman"/>
                <w:b/>
                <w:bCs/>
                <w:color w:val="auto"/>
                <w:sz w:val="21"/>
                <w:szCs w:val="21"/>
                <w:highlight w:val="none"/>
                <w:lang w:val="en-US" w:eastAsia="zh-CN"/>
              </w:rPr>
            </w:pPr>
            <w:r>
              <w:rPr>
                <w:rFonts w:hint="eastAsia" w:eastAsia="仿宋"/>
                <w:b/>
                <w:bCs/>
                <w:color w:val="auto"/>
                <w:sz w:val="21"/>
                <w:szCs w:val="21"/>
                <w:highlight w:val="none"/>
                <w:lang w:val="en-US" w:eastAsia="zh-CN"/>
              </w:rPr>
              <w:t>专栏</w:t>
            </w:r>
            <w:r>
              <w:rPr>
                <w:rFonts w:hint="eastAsia"/>
                <w:b/>
                <w:bCs/>
                <w:color w:val="auto"/>
                <w:sz w:val="21"/>
                <w:szCs w:val="21"/>
                <w:highlight w:val="none"/>
                <w:lang w:val="en-US" w:eastAsia="zh-CN"/>
              </w:rPr>
              <w:t>六</w:t>
            </w:r>
            <w:r>
              <w:rPr>
                <w:rFonts w:hint="eastAsia" w:ascii="Times New Roman" w:hAnsi="Times New Roman" w:eastAsia="仿宋" w:cs="Times New Roman"/>
                <w:b/>
                <w:bCs/>
                <w:color w:val="auto"/>
                <w:sz w:val="21"/>
                <w:szCs w:val="21"/>
                <w:highlight w:val="none"/>
                <w:lang w:val="en-US" w:eastAsia="zh-CN"/>
              </w:rPr>
              <w:t>：</w:t>
            </w:r>
            <w:r>
              <w:rPr>
                <w:rFonts w:hint="eastAsia" w:eastAsia="仿宋" w:cs="Times New Roman"/>
                <w:b/>
                <w:bCs/>
                <w:color w:val="auto"/>
                <w:sz w:val="21"/>
                <w:szCs w:val="21"/>
                <w:highlight w:val="none"/>
                <w:lang w:val="en-US" w:eastAsia="zh-CN"/>
              </w:rPr>
              <w:t>推进农产品加工集中区建设</w:t>
            </w:r>
          </w:p>
          <w:p w14:paraId="580CF786">
            <w:pPr>
              <w:keepNext w:val="0"/>
              <w:keepLines w:val="0"/>
              <w:widowControl/>
              <w:suppressLineNumbers w:val="0"/>
              <w:ind w:firstLine="420"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eastAsia="仿宋" w:cs="Times New Roman"/>
                <w:bCs w:val="0"/>
                <w:i w:val="0"/>
                <w:iCs w:val="0"/>
                <w:caps w:val="0"/>
                <w:color w:val="auto"/>
                <w:spacing w:val="0"/>
                <w:kern w:val="2"/>
                <w:sz w:val="21"/>
                <w:szCs w:val="21"/>
                <w:shd w:val="clear"/>
                <w:lang w:val="en-US" w:eastAsia="zh-CN" w:bidi="ar"/>
              </w:rPr>
              <w:t>围绕健康食品、宠物经济、微生物科技、农业智能装备四大核心板块，通过精准招商与产业链整合，推动向精深加工、功能食品等高附加值领域拓展，着力打造都市城郊型农业样板。</w:t>
            </w:r>
          </w:p>
          <w:p w14:paraId="0AD7E16F">
            <w:pPr>
              <w:keepNext w:val="0"/>
              <w:keepLines w:val="0"/>
              <w:widowControl/>
              <w:suppressLineNumbers w:val="0"/>
              <w:ind w:firstLine="422"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eastAsia="仿宋" w:cs="Times New Roman"/>
                <w:b/>
                <w:bCs/>
                <w:i w:val="0"/>
                <w:iCs w:val="0"/>
                <w:caps w:val="0"/>
                <w:color w:val="auto"/>
                <w:spacing w:val="0"/>
                <w:kern w:val="2"/>
                <w:sz w:val="21"/>
                <w:szCs w:val="21"/>
                <w:shd w:val="clear"/>
                <w:lang w:val="en-US" w:eastAsia="zh-CN" w:bidi="ar"/>
              </w:rPr>
              <w:t>1</w:t>
            </w:r>
            <w:r>
              <w:rPr>
                <w:rFonts w:hint="eastAsia" w:cs="Times New Roman"/>
                <w:b/>
                <w:bCs/>
                <w:i w:val="0"/>
                <w:iCs w:val="0"/>
                <w:caps w:val="0"/>
                <w:color w:val="auto"/>
                <w:spacing w:val="0"/>
                <w:kern w:val="2"/>
                <w:sz w:val="21"/>
                <w:szCs w:val="21"/>
                <w:shd w:val="clear"/>
                <w:lang w:val="en-US" w:eastAsia="zh-CN" w:bidi="ar"/>
              </w:rPr>
              <w:t>.</w:t>
            </w:r>
            <w:r>
              <w:rPr>
                <w:rFonts w:hint="eastAsia" w:eastAsia="仿宋" w:cs="Times New Roman"/>
                <w:b/>
                <w:bCs/>
                <w:i w:val="0"/>
                <w:iCs w:val="0"/>
                <w:caps w:val="0"/>
                <w:color w:val="auto"/>
                <w:spacing w:val="0"/>
                <w:kern w:val="2"/>
                <w:sz w:val="21"/>
                <w:szCs w:val="21"/>
                <w:shd w:val="clear"/>
                <w:lang w:val="en-US" w:eastAsia="zh-CN" w:bidi="ar"/>
              </w:rPr>
              <w:t>健康食品板块。</w:t>
            </w:r>
            <w:r>
              <w:rPr>
                <w:rFonts w:hint="eastAsia" w:eastAsia="仿宋" w:cs="Times New Roman"/>
                <w:bCs w:val="0"/>
                <w:i w:val="0"/>
                <w:iCs w:val="0"/>
                <w:caps w:val="0"/>
                <w:color w:val="auto"/>
                <w:spacing w:val="0"/>
                <w:kern w:val="2"/>
                <w:sz w:val="21"/>
                <w:szCs w:val="21"/>
                <w:shd w:val="clear"/>
                <w:lang w:val="en-US" w:eastAsia="zh-CN" w:bidi="ar"/>
              </w:rPr>
              <w:t>策应大健康产业发展趋势，夯实高品质粮油、动物营养食品、预制菜三大基础领域，壮大功能食品、健康饮料、烘焙食品三大增量板块，前瞻布局药食同源、微生物发酵、合成生物应用等N个新兴赛道，构建“3+3+N”健康食品产业体系，推动从初级加工向精深加工、健康食品、功能食品、预制菜等高附加值领域拓展。</w:t>
            </w:r>
          </w:p>
          <w:p w14:paraId="7F4833D9">
            <w:pPr>
              <w:keepNext w:val="0"/>
              <w:keepLines w:val="0"/>
              <w:widowControl/>
              <w:suppressLineNumbers w:val="0"/>
              <w:ind w:firstLine="422"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cs="Times New Roman"/>
                <w:b/>
                <w:bCs/>
                <w:i w:val="0"/>
                <w:iCs w:val="0"/>
                <w:caps w:val="0"/>
                <w:color w:val="auto"/>
                <w:spacing w:val="0"/>
                <w:kern w:val="2"/>
                <w:sz w:val="21"/>
                <w:szCs w:val="21"/>
                <w:shd w:val="clear"/>
                <w:lang w:val="en-US" w:eastAsia="zh-CN" w:bidi="ar"/>
              </w:rPr>
              <w:t>2.</w:t>
            </w:r>
            <w:r>
              <w:rPr>
                <w:rFonts w:hint="eastAsia" w:eastAsia="仿宋" w:cs="Times New Roman"/>
                <w:b/>
                <w:bCs/>
                <w:i w:val="0"/>
                <w:iCs w:val="0"/>
                <w:caps w:val="0"/>
                <w:color w:val="auto"/>
                <w:spacing w:val="0"/>
                <w:kern w:val="2"/>
                <w:sz w:val="21"/>
                <w:szCs w:val="21"/>
                <w:shd w:val="clear"/>
                <w:lang w:val="en-US" w:eastAsia="zh-CN" w:bidi="ar"/>
              </w:rPr>
              <w:t>宠物经济板块。</w:t>
            </w:r>
            <w:r>
              <w:rPr>
                <w:rFonts w:hint="eastAsia" w:eastAsia="仿宋" w:cs="Times New Roman"/>
                <w:bCs w:val="0"/>
                <w:i w:val="0"/>
                <w:iCs w:val="0"/>
                <w:caps w:val="0"/>
                <w:color w:val="auto"/>
                <w:spacing w:val="0"/>
                <w:kern w:val="2"/>
                <w:sz w:val="21"/>
                <w:szCs w:val="21"/>
                <w:shd w:val="clear"/>
                <w:lang w:val="en-US" w:eastAsia="zh-CN" w:bidi="ar"/>
              </w:rPr>
              <w:t>重点招引高端主粮、保健品、宠物药品及智能宠物用品等产业落地，拓展宠物训导、宠物医疗、宠物美容等下游服务业态。支持易实百瑞、博莱宠等宠物产业链企业深耕发展。构建高端宠物“食品+用品+服务”全产业链生态，打造长三角颇具影响力的宠物产业高地。</w:t>
            </w:r>
          </w:p>
          <w:p w14:paraId="0C247D0A">
            <w:pPr>
              <w:keepNext w:val="0"/>
              <w:keepLines w:val="0"/>
              <w:widowControl/>
              <w:suppressLineNumbers w:val="0"/>
              <w:ind w:firstLine="422"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cs="Times New Roman"/>
                <w:b/>
                <w:bCs/>
                <w:i w:val="0"/>
                <w:iCs w:val="0"/>
                <w:caps w:val="0"/>
                <w:color w:val="auto"/>
                <w:spacing w:val="0"/>
                <w:kern w:val="2"/>
                <w:sz w:val="21"/>
                <w:szCs w:val="21"/>
                <w:shd w:val="clear"/>
                <w:lang w:val="en-US" w:eastAsia="zh-CN" w:bidi="ar"/>
              </w:rPr>
              <w:t>3.</w:t>
            </w:r>
            <w:r>
              <w:rPr>
                <w:rFonts w:hint="eastAsia" w:eastAsia="仿宋" w:cs="Times New Roman"/>
                <w:b/>
                <w:bCs/>
                <w:i w:val="0"/>
                <w:iCs w:val="0"/>
                <w:caps w:val="0"/>
                <w:color w:val="auto"/>
                <w:spacing w:val="0"/>
                <w:kern w:val="2"/>
                <w:sz w:val="21"/>
                <w:szCs w:val="21"/>
                <w:shd w:val="clear"/>
                <w:lang w:val="en-US" w:eastAsia="zh-CN" w:bidi="ar"/>
              </w:rPr>
              <w:t>微生物科技板块。</w:t>
            </w:r>
            <w:r>
              <w:rPr>
                <w:rFonts w:hint="eastAsia" w:eastAsia="仿宋" w:cs="Times New Roman"/>
                <w:bCs w:val="0"/>
                <w:i w:val="0"/>
                <w:iCs w:val="0"/>
                <w:caps w:val="0"/>
                <w:color w:val="auto"/>
                <w:spacing w:val="0"/>
                <w:kern w:val="2"/>
                <w:sz w:val="21"/>
                <w:szCs w:val="21"/>
                <w:shd w:val="clear"/>
                <w:lang w:val="en-US" w:eastAsia="zh-CN" w:bidi="ar"/>
              </w:rPr>
              <w:t>深耕农业生物技术前沿，以生物基材料、微生物科技、生物制药等为核心发展方向。加强与国内知名高校、科研院所战略合作，搭建科研中试载体加速技术成果落地。引导龙头企业入驻，促进上下游企业集聚，形成从研发、中试到规模化生产的完整产业生态。</w:t>
            </w:r>
          </w:p>
          <w:p w14:paraId="1974C819">
            <w:pPr>
              <w:keepNext w:val="0"/>
              <w:keepLines w:val="0"/>
              <w:widowControl/>
              <w:suppressLineNumbers w:val="0"/>
              <w:ind w:firstLine="422"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cs="Times New Roman"/>
                <w:b/>
                <w:bCs/>
                <w:i w:val="0"/>
                <w:iCs w:val="0"/>
                <w:caps w:val="0"/>
                <w:color w:val="auto"/>
                <w:spacing w:val="0"/>
                <w:kern w:val="2"/>
                <w:sz w:val="21"/>
                <w:szCs w:val="21"/>
                <w:shd w:val="clear"/>
                <w:lang w:val="en-US" w:eastAsia="zh-CN" w:bidi="ar"/>
              </w:rPr>
              <w:t>4.</w:t>
            </w:r>
            <w:r>
              <w:rPr>
                <w:rFonts w:hint="eastAsia" w:eastAsia="仿宋" w:cs="Times New Roman"/>
                <w:b/>
                <w:bCs/>
                <w:i w:val="0"/>
                <w:iCs w:val="0"/>
                <w:caps w:val="0"/>
                <w:color w:val="auto"/>
                <w:spacing w:val="0"/>
                <w:kern w:val="2"/>
                <w:sz w:val="21"/>
                <w:szCs w:val="21"/>
                <w:shd w:val="clear"/>
                <w:lang w:val="en-US" w:eastAsia="zh-CN" w:bidi="ar"/>
              </w:rPr>
              <w:t>农业智能装备板块。</w:t>
            </w:r>
            <w:r>
              <w:rPr>
                <w:rFonts w:hint="eastAsia" w:eastAsia="仿宋" w:cs="Times New Roman"/>
                <w:bCs w:val="0"/>
                <w:i w:val="0"/>
                <w:iCs w:val="0"/>
                <w:caps w:val="0"/>
                <w:color w:val="auto"/>
                <w:spacing w:val="0"/>
                <w:kern w:val="2"/>
                <w:sz w:val="21"/>
                <w:szCs w:val="21"/>
                <w:shd w:val="clear"/>
                <w:lang w:val="en-US" w:eastAsia="zh-CN" w:bidi="ar"/>
              </w:rPr>
              <w:t>聚焦农业智能装备制造，引进高端智能农机、自动化生产线及智慧农业管理系统，发展精准投喂、病害实时监测等数字装备产业，促进北斗导航、智能传感等技术与农机装备深度融合，建设一批具有实际应用场景的种业科普、抗病苗种、智能农机示范基地，构建“制造引领、场景驱动”的良性产业闭环。</w:t>
            </w:r>
          </w:p>
          <w:p w14:paraId="5D280CD2">
            <w:pPr>
              <w:keepNext w:val="0"/>
              <w:keepLines w:val="0"/>
              <w:widowControl/>
              <w:suppressLineNumbers w:val="0"/>
              <w:ind w:firstLine="422" w:firstLineChars="200"/>
              <w:jc w:val="left"/>
              <w:rPr>
                <w:rFonts w:hint="eastAsia" w:eastAsia="仿宋" w:cs="Times New Roman"/>
                <w:bCs w:val="0"/>
                <w:i w:val="0"/>
                <w:iCs w:val="0"/>
                <w:caps w:val="0"/>
                <w:color w:val="auto"/>
                <w:spacing w:val="0"/>
                <w:kern w:val="2"/>
                <w:sz w:val="21"/>
                <w:szCs w:val="21"/>
                <w:shd w:val="clear"/>
                <w:lang w:val="en-US" w:eastAsia="zh-CN" w:bidi="ar"/>
              </w:rPr>
            </w:pPr>
            <w:r>
              <w:rPr>
                <w:rFonts w:hint="eastAsia" w:cs="Times New Roman"/>
                <w:b/>
                <w:bCs/>
                <w:i w:val="0"/>
                <w:iCs w:val="0"/>
                <w:caps w:val="0"/>
                <w:color w:val="auto"/>
                <w:spacing w:val="0"/>
                <w:kern w:val="2"/>
                <w:sz w:val="21"/>
                <w:szCs w:val="21"/>
                <w:shd w:val="clear"/>
                <w:lang w:val="en-US" w:eastAsia="zh-CN" w:bidi="ar"/>
              </w:rPr>
              <w:t>5.</w:t>
            </w:r>
            <w:r>
              <w:rPr>
                <w:rFonts w:hint="eastAsia" w:eastAsia="仿宋" w:cs="Times New Roman"/>
                <w:b/>
                <w:bCs/>
                <w:i w:val="0"/>
                <w:iCs w:val="0"/>
                <w:caps w:val="0"/>
                <w:color w:val="auto"/>
                <w:spacing w:val="0"/>
                <w:kern w:val="2"/>
                <w:sz w:val="21"/>
                <w:szCs w:val="21"/>
                <w:shd w:val="clear"/>
                <w:lang w:val="en-US" w:eastAsia="zh-CN" w:bidi="ar"/>
              </w:rPr>
              <w:t>研发及配套服务产业集聚区。</w:t>
            </w:r>
            <w:r>
              <w:rPr>
                <w:rFonts w:hint="eastAsia" w:eastAsia="仿宋" w:cs="Times New Roman"/>
                <w:bCs w:val="0"/>
                <w:i w:val="0"/>
                <w:iCs w:val="0"/>
                <w:caps w:val="0"/>
                <w:color w:val="auto"/>
                <w:spacing w:val="0"/>
                <w:kern w:val="2"/>
                <w:sz w:val="21"/>
                <w:szCs w:val="21"/>
                <w:shd w:val="clear"/>
                <w:lang w:val="en-US" w:eastAsia="zh-CN" w:bidi="ar"/>
              </w:rPr>
              <w:t>通过搭建高技术平台和提供优质的配套服务，组建和引入创新型人才队伍，为园区的成长型企业提供临时的研发空间，利用知名高校和科研院所的力量，共同推动企业研发能力的培育，显著提高园区企业的自主创新能力和市场竞争力。</w:t>
            </w:r>
          </w:p>
          <w:p w14:paraId="56F66545">
            <w:pPr>
              <w:keepNext w:val="0"/>
              <w:keepLines w:val="0"/>
              <w:widowControl/>
              <w:suppressLineNumbers w:val="0"/>
              <w:ind w:firstLine="422" w:firstLineChars="200"/>
              <w:jc w:val="left"/>
              <w:rPr>
                <w:rFonts w:hint="eastAsia" w:ascii="Times New Roman" w:hAnsi="Times New Roman" w:eastAsia="仿宋" w:cs="黑体"/>
                <w:bCs/>
                <w:color w:val="auto"/>
                <w:spacing w:val="18"/>
                <w:sz w:val="32"/>
                <w:szCs w:val="28"/>
                <w:vertAlign w:val="baseline"/>
                <w:lang w:val="en-US" w:eastAsia="zh-CN"/>
              </w:rPr>
            </w:pPr>
            <w:r>
              <w:rPr>
                <w:rFonts w:hint="eastAsia" w:cs="Times New Roman"/>
                <w:b/>
                <w:bCs/>
                <w:i w:val="0"/>
                <w:iCs w:val="0"/>
                <w:caps w:val="0"/>
                <w:color w:val="auto"/>
                <w:spacing w:val="0"/>
                <w:kern w:val="2"/>
                <w:sz w:val="21"/>
                <w:szCs w:val="21"/>
                <w:shd w:val="clear"/>
                <w:lang w:val="en-US" w:eastAsia="zh-CN" w:bidi="ar"/>
              </w:rPr>
              <w:t>6.</w:t>
            </w:r>
            <w:r>
              <w:rPr>
                <w:rFonts w:hint="eastAsia" w:eastAsia="仿宋" w:cs="Times New Roman"/>
                <w:b/>
                <w:bCs/>
                <w:i w:val="0"/>
                <w:iCs w:val="0"/>
                <w:caps w:val="0"/>
                <w:color w:val="auto"/>
                <w:spacing w:val="0"/>
                <w:kern w:val="2"/>
                <w:sz w:val="21"/>
                <w:szCs w:val="21"/>
                <w:shd w:val="clear"/>
                <w:lang w:val="en-US" w:eastAsia="zh-CN" w:bidi="ar"/>
              </w:rPr>
              <w:t>冷链物流和仓储服务中心。</w:t>
            </w:r>
            <w:r>
              <w:rPr>
                <w:rFonts w:hint="eastAsia" w:eastAsia="仿宋" w:cs="Times New Roman"/>
                <w:bCs w:val="0"/>
                <w:i w:val="0"/>
                <w:iCs w:val="0"/>
                <w:caps w:val="0"/>
                <w:color w:val="auto"/>
                <w:spacing w:val="0"/>
                <w:kern w:val="2"/>
                <w:sz w:val="21"/>
                <w:szCs w:val="21"/>
                <w:shd w:val="clear"/>
                <w:lang w:val="en-US" w:eastAsia="zh-CN" w:bidi="ar"/>
              </w:rPr>
              <w:t>围绕优质果蔬、畜禽肉品、速冻米面食品等产品，利用5G、物联网、AR/VR和区块链等高科技手段，实现优质农副产品、食品从田间、车间到舌尖的全程可视化追溯，打造集分拣、仓储、冷链物流、交易等功能为一体的国际食品农产品冷链仓储流通中心。</w:t>
            </w:r>
          </w:p>
        </w:tc>
      </w:tr>
    </w:tbl>
    <w:p w14:paraId="2F1C642F">
      <w:pPr>
        <w:keepNext w:val="0"/>
        <w:keepLines w:val="0"/>
        <w:pageBreakBefore w:val="0"/>
        <w:widowControl/>
        <w:kinsoku/>
        <w:wordWrap/>
        <w:overflowPunct/>
        <w:topLinePunct w:val="0"/>
        <w:autoSpaceDE/>
        <w:autoSpaceDN/>
        <w:bidi w:val="0"/>
        <w:adjustRightInd/>
        <w:snapToGrid/>
        <w:spacing w:before="0" w:beforeAutospacing="0" w:after="0" w:afterAutospacing="0"/>
        <w:ind w:firstLineChars="200"/>
        <w:textAlignment w:val="auto"/>
        <w:rPr>
          <w:rFonts w:hint="default" w:ascii="Times New Roman" w:hAnsi="Times New Roman" w:eastAsia="仿宋" w:cs="Times New Roman"/>
          <w:b w:val="0"/>
          <w:bCs w:val="0"/>
          <w:color w:val="auto"/>
          <w:kern w:val="0"/>
          <w:sz w:val="24"/>
          <w:szCs w:val="22"/>
          <w:lang w:val="en-US" w:eastAsia="zh-CN" w:bidi="ar-SA"/>
        </w:rPr>
      </w:pPr>
      <w:r>
        <w:rPr>
          <w:rFonts w:hint="eastAsia" w:ascii="Times New Roman" w:hAnsi="Times New Roman" w:eastAsia="仿宋" w:cs="Times New Roman"/>
          <w:b/>
          <w:bCs/>
          <w:color w:val="auto"/>
          <w:kern w:val="2"/>
          <w:sz w:val="32"/>
          <w:szCs w:val="22"/>
          <w:lang w:val="en-US" w:eastAsia="zh-CN" w:bidi="ar-SA"/>
        </w:rPr>
        <w:t>构建农业</w:t>
      </w:r>
      <w:r>
        <w:rPr>
          <w:rFonts w:hint="eastAsia" w:cs="Times New Roman"/>
          <w:b/>
          <w:bCs/>
          <w:color w:val="auto"/>
          <w:kern w:val="2"/>
          <w:sz w:val="32"/>
          <w:szCs w:val="22"/>
          <w:lang w:val="en-US" w:eastAsia="zh-CN" w:bidi="ar-SA"/>
        </w:rPr>
        <w:t>对外</w:t>
      </w:r>
      <w:r>
        <w:rPr>
          <w:rFonts w:hint="eastAsia" w:ascii="Times New Roman" w:hAnsi="Times New Roman" w:eastAsia="仿宋" w:cs="Times New Roman"/>
          <w:b/>
          <w:bCs/>
          <w:color w:val="auto"/>
          <w:kern w:val="2"/>
          <w:sz w:val="32"/>
          <w:szCs w:val="22"/>
          <w:lang w:val="en-US" w:eastAsia="zh-CN" w:bidi="ar-SA"/>
        </w:rPr>
        <w:t>开放新格局</w:t>
      </w:r>
      <w:r>
        <w:rPr>
          <w:rFonts w:hint="eastAsia" w:cs="Times New Roman"/>
          <w:b/>
          <w:bCs/>
          <w:color w:val="auto"/>
          <w:kern w:val="2"/>
          <w:sz w:val="32"/>
          <w:szCs w:val="22"/>
          <w:lang w:val="en-US" w:eastAsia="zh-CN" w:bidi="ar-SA"/>
        </w:rPr>
        <w:t>。</w:t>
      </w:r>
      <w:r>
        <w:rPr>
          <w:rFonts w:hint="eastAsia" w:cs="Times New Roman"/>
          <w:b w:val="0"/>
          <w:bCs w:val="0"/>
          <w:color w:val="auto"/>
          <w:kern w:val="2"/>
          <w:sz w:val="32"/>
          <w:szCs w:val="22"/>
          <w:lang w:val="en-US" w:eastAsia="zh-CN" w:bidi="ar-SA"/>
        </w:rPr>
        <w:t>重点推进“2+N”产业技术输出与产业链延伸，构建“研发在内、推广在外”的农业开放合作新格局，形成“内外联动、双向赋能、价值跃升”的开放生态。通过跨国合作建立试验基地，将苗种繁育、饲料生产等核心技术环节留在本地，带动全国、“一带一路”国家生产基地标准化生产，将技术优势转化为标准话语权与服务竞争力。整合南农大、扬州大学、省农科院等本地科研力量，建立“国际农业技术联合实验室”，重点攻关“一带一路”国家急需的耐逆品种、高效养殖技术等课题，持续提升招商引资质效，吸引</w:t>
      </w:r>
      <w:r>
        <w:rPr>
          <w:rFonts w:hint="default" w:cs="Times New Roman"/>
          <w:b w:val="0"/>
          <w:bCs w:val="0"/>
          <w:color w:val="auto"/>
          <w:kern w:val="2"/>
          <w:sz w:val="32"/>
          <w:szCs w:val="22"/>
          <w:lang w:val="en-US" w:eastAsia="zh-CN" w:bidi="ar-SA"/>
        </w:rPr>
        <w:t>全球农业企业、科研机构落户海陵。</w:t>
      </w:r>
    </w:p>
    <w:p w14:paraId="35864ED4">
      <w:pPr>
        <w:pStyle w:val="4"/>
        <w:rPr>
          <w:rFonts w:hint="default"/>
          <w:highlight w:val="none"/>
          <w:lang w:val="en-US" w:eastAsia="zh-CN"/>
        </w:rPr>
      </w:pPr>
      <w:bookmarkStart w:id="58" w:name="_Toc13112"/>
      <w:bookmarkStart w:id="59" w:name="_Toc7972"/>
      <w:bookmarkStart w:id="60" w:name="_Toc3635"/>
      <w:bookmarkStart w:id="61" w:name="_Toc32467"/>
      <w:r>
        <w:rPr>
          <w:rFonts w:hint="default"/>
          <w:highlight w:val="none"/>
          <w:lang w:val="en-US" w:eastAsia="zh-CN"/>
        </w:rPr>
        <w:t>第四节 打造融合发展新业态新场景</w:t>
      </w:r>
      <w:bookmarkEnd w:id="58"/>
      <w:bookmarkEnd w:id="59"/>
      <w:bookmarkEnd w:id="60"/>
      <w:bookmarkEnd w:id="61"/>
    </w:p>
    <w:p w14:paraId="601BE4BD">
      <w:pPr>
        <w:rPr>
          <w:rFonts w:hint="eastAsia"/>
          <w:b w:val="0"/>
          <w:bCs w:val="0"/>
          <w:lang w:val="en-US" w:eastAsia="zh-CN"/>
        </w:rPr>
      </w:pPr>
      <w:r>
        <w:rPr>
          <w:rFonts w:hint="eastAsia"/>
          <w:b/>
          <w:bCs/>
          <w:color w:val="auto"/>
          <w:highlight w:val="none"/>
          <w:lang w:val="en-US" w:eastAsia="zh-CN"/>
        </w:rPr>
        <w:t>推动休闲农业蓬勃发展。</w:t>
      </w:r>
      <w:r>
        <w:rPr>
          <w:rFonts w:hint="eastAsia"/>
          <w:b w:val="0"/>
          <w:bCs w:val="0"/>
          <w:color w:val="auto"/>
          <w:highlight w:val="none"/>
          <w:lang w:val="en-US" w:eastAsia="zh-CN"/>
        </w:rPr>
        <w:t>立足乡村特色产业与农耕文化资源，积极培育“和美乡村+”农业、旅游、非遗、民宿、康养等新业态，着力打造“乡产”“乡游”“乡食”“乡宿”等特色品牌，激发休闲农业发展新动能。</w:t>
      </w:r>
      <w:r>
        <w:rPr>
          <w:rFonts w:hint="eastAsia"/>
          <w:b w:val="0"/>
          <w:bCs w:val="0"/>
          <w:lang w:val="en-US" w:eastAsia="zh-CN"/>
        </w:rPr>
        <w:t>支持新型经营主体开发农耕体验、蔬果采摘、科普研学、休闲垂钓、萌宠互动等项目，推动有机种植、亲子体验与社交场景创新融合，促进农业从单一生产向“生产、生活、生态”复合型转变。</w:t>
      </w:r>
      <w:r>
        <w:rPr>
          <w:rFonts w:hint="eastAsia"/>
          <w:b w:val="0"/>
          <w:bCs w:val="0"/>
          <w:highlight w:val="none"/>
          <w:lang w:val="en-US" w:eastAsia="zh-CN"/>
        </w:rPr>
        <w:t>精</w:t>
      </w:r>
      <w:r>
        <w:rPr>
          <w:rFonts w:hint="eastAsia"/>
          <w:b w:val="0"/>
          <w:bCs w:val="0"/>
          <w:lang w:val="en-US" w:eastAsia="zh-CN"/>
        </w:rPr>
        <w:t>准对接都市人群回归自然、追求健康的核心需求，通过土地认养、周末耕种等沉浸式体验模式，助力城市居民实现“田园梦”，同时促进乡村资源优化配置与高效利用。</w:t>
      </w:r>
    </w:p>
    <w:p w14:paraId="4414D6C7">
      <w:pPr>
        <w:rPr>
          <w:rFonts w:hint="eastAsia"/>
          <w:b w:val="0"/>
          <w:bCs w:val="0"/>
          <w:lang w:val="en-US" w:eastAsia="zh-CN"/>
        </w:rPr>
      </w:pPr>
      <w:r>
        <w:rPr>
          <w:rFonts w:hint="eastAsia"/>
          <w:b/>
          <w:bCs/>
          <w:lang w:val="en-US" w:eastAsia="zh-CN"/>
        </w:rPr>
        <w:t>深化文化赋“农”发展。</w:t>
      </w:r>
      <w:r>
        <w:rPr>
          <w:rFonts w:hint="eastAsia"/>
          <w:b w:val="0"/>
          <w:bCs w:val="0"/>
          <w:lang w:val="en-US" w:eastAsia="zh-CN"/>
        </w:rPr>
        <w:t>深挖海陵深厚的历史积淀和宝贵的文化财富，擦亮“戏曲文化”“红色文化”“早茶文化”“非遗文化”等特色名片，系统提炼核心文化符号，创作具有地方特色的文化产品，持续激活乡土文化生命力。结合主城区文化消费需求，创新开发古城文化游、主题研学游、乡村特色游等文旅产品，通过举办非遗夜市、推出“夜游海陵”精品线路等，打造文旅消费新场景。结合海陵烙画、钩编技艺、手工糕点等非遗技艺，打造乡土文化市集、非遗工坊、主题院落等文化体验节点，定期举办非遗展演、民俗巡游、古城灯会等系列活动，推动传统技艺与现代产业深度融合。</w:t>
      </w:r>
    </w:p>
    <w:p w14:paraId="67404FC1">
      <w:pPr>
        <w:rPr>
          <w:rFonts w:hint="default"/>
          <w:b w:val="0"/>
          <w:bCs w:val="0"/>
          <w:lang w:val="en-US" w:eastAsia="zh-CN"/>
        </w:rPr>
      </w:pPr>
      <w:r>
        <w:rPr>
          <w:rFonts w:hint="eastAsia"/>
          <w:b/>
          <w:bCs/>
          <w:lang w:val="en-US" w:eastAsia="zh-CN"/>
        </w:rPr>
        <w:t>做靓乡村微度假目的地。</w:t>
      </w:r>
      <w:r>
        <w:rPr>
          <w:rFonts w:hint="eastAsia"/>
          <w:b w:val="0"/>
          <w:bCs w:val="0"/>
          <w:lang w:val="en-US" w:eastAsia="zh-CN"/>
        </w:rPr>
        <w:t>充分发挥主城区交通条件便利、消费市场近达的优势，依托“水城一体”的生态底色，精准对接市民短途、高频的周边游需求，重点培育休闲农业、宠物经济、周末经济等新业态，开发周末露营、水上休闲、骑行漫游等轻旅游产品，加快打造“半小时都市田园生活圈”。深化与凤城河景区、稻河古街区等主城景点的联动，创新推出“古城+乡村”主题联票，系统设计亲子游乐、文化体验、康养休闲、团建定制等多条精品线路，构建“四季有景、四季有果、四季有乐”的全时微度假格局，将海陵乡村地区打造为“主城后花园・微度假胜地”。</w:t>
      </w:r>
    </w:p>
    <w:p w14:paraId="3BCB750C">
      <w:pPr>
        <w:widowControl/>
        <w:rPr>
          <w:rFonts w:hint="eastAsia" w:ascii="Times New Roman" w:hAnsi="Times New Roman" w:cs="Times New Roman"/>
          <w:kern w:val="2"/>
          <w:sz w:val="32"/>
          <w:szCs w:val="22"/>
          <w:lang w:val="en-US" w:eastAsia="zh-CN"/>
        </w:rPr>
      </w:pPr>
      <w:r>
        <w:rPr>
          <w:rFonts w:hint="eastAsia"/>
          <w:b/>
          <w:bCs/>
          <w:lang w:val="en-US" w:eastAsia="zh-CN"/>
        </w:rPr>
        <w:t>激发乡村新消费新活力。</w:t>
      </w:r>
      <w:r>
        <w:rPr>
          <w:rFonts w:hint="eastAsia"/>
          <w:b w:val="0"/>
          <w:bCs w:val="0"/>
          <w:lang w:val="en-US" w:eastAsia="zh-CN"/>
        </w:rPr>
        <w:t>依托主城市场优势，</w:t>
      </w:r>
      <w:r>
        <w:rPr>
          <w:rFonts w:hint="eastAsia" w:ascii="Times New Roman" w:hAnsi="Times New Roman" w:cs="Times New Roman"/>
          <w:kern w:val="2"/>
          <w:sz w:val="32"/>
          <w:szCs w:val="22"/>
          <w:lang w:val="en-US" w:eastAsia="zh-CN"/>
        </w:rPr>
        <w:t>搭建“城区订单+乡村直供”的产销平台，</w:t>
      </w:r>
      <w:r>
        <w:rPr>
          <w:rFonts w:hint="eastAsia" w:cs="Times New Roman"/>
          <w:kern w:val="2"/>
          <w:sz w:val="32"/>
          <w:szCs w:val="22"/>
          <w:lang w:val="en-US" w:eastAsia="zh-CN"/>
        </w:rPr>
        <w:t>大力</w:t>
      </w:r>
      <w:r>
        <w:rPr>
          <w:rFonts w:hint="eastAsia" w:ascii="Times New Roman" w:hAnsi="Times New Roman" w:cs="Times New Roman"/>
          <w:kern w:val="2"/>
          <w:sz w:val="32"/>
          <w:szCs w:val="22"/>
          <w:lang w:val="en-US" w:eastAsia="zh-CN"/>
        </w:rPr>
        <w:t>发展产销对接、直供直销、即时配送、直播带货等模式，拓展农产品销售渠道。发挥“苏海便邻”和“苏海优供”双品牌一体化建设优势，打造新型供销“零距离”服务体系，</w:t>
      </w:r>
      <w:r>
        <w:rPr>
          <w:rFonts w:hint="eastAsia" w:cs="Times New Roman"/>
          <w:kern w:val="2"/>
          <w:sz w:val="32"/>
          <w:szCs w:val="22"/>
          <w:lang w:val="en-US" w:eastAsia="zh-CN"/>
        </w:rPr>
        <w:t>有效贯通</w:t>
      </w:r>
      <w:r>
        <w:rPr>
          <w:rFonts w:hint="eastAsia" w:ascii="Times New Roman" w:hAnsi="Times New Roman" w:cs="Times New Roman"/>
          <w:kern w:val="2"/>
          <w:sz w:val="32"/>
          <w:szCs w:val="22"/>
          <w:lang w:val="en-US" w:eastAsia="zh-CN"/>
        </w:rPr>
        <w:t>农产品进城“最后一公里”。</w:t>
      </w:r>
      <w:r>
        <w:rPr>
          <w:rFonts w:hint="eastAsia" w:cs="Times New Roman"/>
          <w:kern w:val="2"/>
          <w:sz w:val="32"/>
          <w:szCs w:val="22"/>
          <w:lang w:val="en-US" w:eastAsia="zh-CN"/>
        </w:rPr>
        <w:t>依托</w:t>
      </w:r>
      <w:r>
        <w:rPr>
          <w:rFonts w:hint="eastAsia" w:ascii="Times New Roman" w:hAnsi="Times New Roman" w:cs="Times New Roman"/>
          <w:kern w:val="2"/>
          <w:sz w:val="32"/>
          <w:szCs w:val="22"/>
          <w:lang w:val="en-US" w:eastAsia="zh-CN"/>
        </w:rPr>
        <w:t>“苏超”等重大赛事</w:t>
      </w:r>
      <w:r>
        <w:rPr>
          <w:rFonts w:hint="eastAsia" w:cs="Times New Roman"/>
          <w:kern w:val="2"/>
          <w:sz w:val="32"/>
          <w:szCs w:val="22"/>
          <w:lang w:val="en-US" w:eastAsia="zh-CN"/>
        </w:rPr>
        <w:t>影响力</w:t>
      </w:r>
      <w:r>
        <w:rPr>
          <w:rFonts w:hint="eastAsia" w:ascii="Times New Roman" w:hAnsi="Times New Roman" w:cs="Times New Roman"/>
          <w:kern w:val="2"/>
          <w:sz w:val="32"/>
          <w:szCs w:val="22"/>
          <w:lang w:val="en-US" w:eastAsia="zh-CN"/>
        </w:rPr>
        <w:t>，支持举办“村BA”“村超”“村排”“村跑”等乡村赛事活动，培育特色村咖、主题民宿、帐篷露营、创意工坊等消费新场景，</w:t>
      </w:r>
      <w:r>
        <w:rPr>
          <w:rFonts w:hint="eastAsia" w:cs="Times New Roman"/>
          <w:kern w:val="2"/>
          <w:sz w:val="32"/>
          <w:szCs w:val="22"/>
          <w:lang w:val="en-US" w:eastAsia="zh-CN"/>
        </w:rPr>
        <w:t>定期</w:t>
      </w:r>
      <w:r>
        <w:rPr>
          <w:rFonts w:hint="eastAsia" w:ascii="Times New Roman" w:hAnsi="Times New Roman" w:cs="Times New Roman"/>
          <w:kern w:val="2"/>
          <w:sz w:val="32"/>
          <w:szCs w:val="22"/>
          <w:lang w:val="en-US" w:eastAsia="zh-CN"/>
        </w:rPr>
        <w:t>举办乡村特色产品展、非遗文化展</w:t>
      </w:r>
      <w:r>
        <w:rPr>
          <w:rFonts w:hint="eastAsia" w:cs="Times New Roman"/>
          <w:kern w:val="2"/>
          <w:sz w:val="32"/>
          <w:szCs w:val="22"/>
          <w:lang w:val="en-US" w:eastAsia="zh-CN"/>
        </w:rPr>
        <w:t>与</w:t>
      </w:r>
      <w:r>
        <w:rPr>
          <w:rFonts w:hint="eastAsia" w:ascii="Times New Roman" w:hAnsi="Times New Roman" w:cs="Times New Roman"/>
          <w:kern w:val="2"/>
          <w:sz w:val="32"/>
          <w:szCs w:val="22"/>
          <w:lang w:val="en-US" w:eastAsia="zh-CN"/>
        </w:rPr>
        <w:t>乡村艺术展，鼓励发展</w:t>
      </w:r>
      <w:r>
        <w:rPr>
          <w:rFonts w:hint="eastAsia" w:cs="Times New Roman"/>
          <w:kern w:val="2"/>
          <w:sz w:val="32"/>
          <w:szCs w:val="22"/>
          <w:lang w:val="en-US" w:eastAsia="zh-CN"/>
        </w:rPr>
        <w:t>丰收</w:t>
      </w:r>
      <w:r>
        <w:rPr>
          <w:rFonts w:hint="eastAsia" w:ascii="Times New Roman" w:hAnsi="Times New Roman" w:cs="Times New Roman"/>
          <w:kern w:val="2"/>
          <w:sz w:val="32"/>
          <w:szCs w:val="22"/>
          <w:lang w:val="en-US" w:eastAsia="zh-CN"/>
        </w:rPr>
        <w:t>市集、文创市集等新业态，</w:t>
      </w:r>
      <w:r>
        <w:rPr>
          <w:rFonts w:hint="eastAsia" w:cs="Times New Roman"/>
          <w:kern w:val="2"/>
          <w:sz w:val="32"/>
          <w:szCs w:val="22"/>
          <w:lang w:val="en-US" w:eastAsia="zh-CN"/>
        </w:rPr>
        <w:t>全面</w:t>
      </w:r>
      <w:r>
        <w:rPr>
          <w:rFonts w:hint="eastAsia" w:ascii="Times New Roman" w:hAnsi="Times New Roman" w:cs="Times New Roman"/>
          <w:kern w:val="2"/>
          <w:sz w:val="32"/>
          <w:szCs w:val="22"/>
          <w:lang w:val="en-US" w:eastAsia="zh-CN"/>
        </w:rPr>
        <w:t>释放乡村消费潜力。</w:t>
      </w:r>
    </w:p>
    <w:p w14:paraId="7F07CBDD">
      <w:pPr>
        <w:keepNext w:val="0"/>
        <w:keepLines w:val="0"/>
        <w:widowControl/>
        <w:numPr>
          <w:ilvl w:val="-1"/>
          <w:numId w:val="0"/>
        </w:numPr>
        <w:suppressLineNumbers w:val="0"/>
        <w:spacing w:before="0" w:beforeAutospacing="0" w:after="0" w:afterAutospacing="0"/>
        <w:ind w:left="0" w:firstLine="643"/>
      </w:pPr>
      <w:r>
        <w:rPr>
          <w:rFonts w:hint="eastAsia"/>
          <w:b/>
          <w:bCs/>
          <w:lang w:val="en-US" w:eastAsia="zh-CN"/>
        </w:rPr>
        <w:t>培育乡村创新创业动能。</w:t>
      </w:r>
      <w:r>
        <w:rPr>
          <w:rFonts w:hint="eastAsia"/>
          <w:b w:val="0"/>
          <w:bCs w:val="0"/>
          <w:lang w:val="en-US" w:eastAsia="zh-CN"/>
        </w:rPr>
        <w:t>依托泰州主城区的核心区位优势，吸引有乡村情怀和田园梦想的青年人才返乡就业创业，探索“办公在乡村、生活在城市”的通勤式乡创模式。盘活村集体资产和农民闲置用房，推动基础设施升级和生活服务配套优化，为特色餐饮、精品民宿、手工艺坊、花艺培训、婚纱摄影、康养疗愈等乡村新型服务业开拓空间。吸引主城区小微企业、自由职业者入驻乡村，改造闲置厂房打造共享办公空间，形成“乡村创客聚落”，拓展文创设计、数字经济等轻资产业态，建设乡村直播基地、短视频创作中心等创业平台，加快构建功能复合、业态创新的乡村商务新空间。</w:t>
      </w:r>
    </w:p>
    <w:p w14:paraId="09CB4166">
      <w:pPr>
        <w:keepNext w:val="0"/>
        <w:keepLines w:val="0"/>
        <w:widowControl/>
        <w:numPr>
          <w:ilvl w:val="-1"/>
          <w:numId w:val="0"/>
        </w:numPr>
        <w:suppressLineNumbers w:val="0"/>
        <w:spacing w:before="0" w:beforeAutospacing="0" w:after="0" w:afterAutospacing="0"/>
        <w:ind w:left="0" w:firstLine="643"/>
        <w:rPr>
          <w:rFonts w:hint="eastAsia"/>
          <w:lang w:bidi="ar"/>
        </w:rPr>
      </w:pPr>
      <w:r>
        <w:rPr>
          <w:rFonts w:hint="eastAsia"/>
          <w:b/>
          <w:bCs/>
          <w:lang w:val="en-US" w:eastAsia="zh-CN"/>
        </w:rPr>
        <w:t>构建品质乡居融合空间。</w:t>
      </w:r>
      <w:r>
        <w:rPr>
          <w:rFonts w:hint="eastAsia"/>
          <w:b w:val="0"/>
          <w:bCs w:val="0"/>
          <w:lang w:val="en-US" w:eastAsia="zh-CN"/>
        </w:rPr>
        <w:t>推动道路交通、水电气网及公共服务等基础设施与主城区标准统一、全面对接，着力打通城乡衔接“最后一公里”，加速乡村地区融入主城现代化进程。结合海陵乡村地区风貌特色，因地制宜打造水乡风情、康养休闲、文化创意等类型村庄，通过民居改造、集中居住、风貌整治等举措，提升农村居民生活品质和幸福感，打造“水乡风情+主城品质”的宜居空间。针对主城区人口密集、养老需求旺盛的现状，积极培育乡村康养、旅居创业等新业态，打造“主城居民下乡旅居、返乡人才创业定居”的城乡融合样板，有效促进城乡人口与要素双向流动、协同发展。</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24F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78289E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eastAsia="仿宋"/>
                <w:b/>
                <w:bCs/>
                <w:color w:val="auto"/>
                <w:sz w:val="21"/>
                <w:szCs w:val="21"/>
                <w:highlight w:val="none"/>
                <w:lang w:val="en-US" w:eastAsia="zh-CN"/>
              </w:rPr>
              <w:t>专栏</w:t>
            </w:r>
            <w:r>
              <w:rPr>
                <w:rFonts w:hint="eastAsia"/>
                <w:b/>
                <w:bCs/>
                <w:color w:val="auto"/>
                <w:sz w:val="21"/>
                <w:szCs w:val="21"/>
                <w:highlight w:val="none"/>
                <w:lang w:val="en-US" w:eastAsia="zh-CN"/>
              </w:rPr>
              <w:t>七</w:t>
            </w:r>
            <w:r>
              <w:rPr>
                <w:rFonts w:hint="eastAsia" w:ascii="Times New Roman" w:hAnsi="Times New Roman" w:cs="Times New Roman"/>
                <w:b/>
                <w:bCs/>
                <w:color w:val="auto"/>
                <w:sz w:val="21"/>
                <w:szCs w:val="21"/>
                <w:highlight w:val="none"/>
                <w:lang w:val="en-US" w:eastAsia="zh-CN"/>
              </w:rPr>
              <w:t>：促进“农文旅商创居”六维融合</w:t>
            </w:r>
          </w:p>
          <w:p w14:paraId="6324B757">
            <w:pPr>
              <w:keepNext w:val="0"/>
              <w:keepLines w:val="0"/>
              <w:widowControl/>
              <w:pBdr>
                <w:top w:val="none" w:color="auto" w:sz="0" w:space="0"/>
                <w:left w:val="none" w:color="auto" w:sz="0" w:space="0"/>
                <w:right w:val="none" w:color="auto" w:sz="0" w:space="0"/>
              </w:pBdr>
              <w:bidi w:val="0"/>
              <w:spacing w:before="0" w:after="0"/>
              <w:ind w:firstLine="0"/>
              <w:textAlignment w:val="baseline"/>
              <w:rPr>
                <w:rFonts w:hint="eastAsia" w:hAnsi="宋体" w:cs="宋体"/>
                <w:b w:val="0"/>
                <w:bCs w:val="0"/>
                <w:i w:val="0"/>
                <w:iCs w:val="0"/>
                <w:caps w:val="0"/>
                <w:color w:val="auto"/>
                <w:spacing w:val="0"/>
                <w:kern w:val="0"/>
                <w:sz w:val="21"/>
                <w:szCs w:val="21"/>
                <w:highlight w:val="none"/>
                <w:shd w:val="clear"/>
                <w:lang w:eastAsia="zh-CN" w:bidi="ar"/>
              </w:rPr>
            </w:pPr>
            <w:r>
              <w:rPr>
                <w:rStyle w:val="16"/>
                <w:rFonts w:hint="eastAsia" w:ascii="Times New Roman" w:hAnsi="宋体" w:eastAsia="仿宋" w:cs="宋体"/>
                <w:b w:val="0"/>
                <w:bCs w:val="0"/>
                <w:i w:val="0"/>
                <w:iCs w:val="0"/>
                <w:caps w:val="0"/>
                <w:color w:val="auto"/>
                <w:spacing w:val="0"/>
                <w:kern w:val="0"/>
                <w:sz w:val="21"/>
                <w:szCs w:val="21"/>
                <w:highlight w:val="none"/>
                <w:shd w:val="clear" w:fill="auto"/>
                <w:lang w:bidi="ar"/>
              </w:rPr>
              <w:t>围绕都市城郊型农业发展定位，</w:t>
            </w:r>
            <w:r>
              <w:rPr>
                <w:rStyle w:val="16"/>
                <w:rFonts w:hint="eastAsia" w:hAnsi="宋体" w:cs="宋体"/>
                <w:b w:val="0"/>
                <w:bCs w:val="0"/>
                <w:i w:val="0"/>
                <w:iCs w:val="0"/>
                <w:caps w:val="0"/>
                <w:color w:val="auto"/>
                <w:spacing w:val="0"/>
                <w:kern w:val="0"/>
                <w:sz w:val="21"/>
                <w:szCs w:val="21"/>
                <w:highlight w:val="none"/>
                <w:shd w:val="clear" w:fill="auto"/>
                <w:lang w:val="en-US" w:eastAsia="zh-CN" w:bidi="ar"/>
              </w:rPr>
              <w:t>通过</w:t>
            </w:r>
            <w:r>
              <w:rPr>
                <w:rStyle w:val="16"/>
                <w:rFonts w:hint="eastAsia" w:ascii="Times New Roman" w:hAnsi="宋体" w:eastAsia="仿宋" w:cs="宋体"/>
                <w:b w:val="0"/>
                <w:bCs w:val="0"/>
                <w:i w:val="0"/>
                <w:iCs w:val="0"/>
                <w:caps w:val="0"/>
                <w:color w:val="auto"/>
                <w:spacing w:val="0"/>
                <w:kern w:val="0"/>
                <w:sz w:val="21"/>
                <w:szCs w:val="21"/>
                <w:highlight w:val="none"/>
                <w:shd w:val="clear" w:fill="auto"/>
                <w:lang w:bidi="ar"/>
              </w:rPr>
              <w:t>整合城市资本、客源与乡村土地、劳动力资源，</w:t>
            </w:r>
            <w:r>
              <w:rPr>
                <w:rStyle w:val="16"/>
                <w:rFonts w:hint="eastAsia" w:hAnsi="宋体" w:cs="宋体"/>
                <w:b w:val="0"/>
                <w:bCs w:val="0"/>
                <w:i w:val="0"/>
                <w:iCs w:val="0"/>
                <w:caps w:val="0"/>
                <w:color w:val="auto"/>
                <w:spacing w:val="0"/>
                <w:kern w:val="0"/>
                <w:sz w:val="21"/>
                <w:szCs w:val="21"/>
                <w:highlight w:val="none"/>
                <w:shd w:val="clear" w:fill="auto"/>
                <w:lang w:val="en-US" w:eastAsia="zh-CN" w:bidi="ar"/>
              </w:rPr>
              <w:t>促进</w:t>
            </w:r>
            <w:r>
              <w:rPr>
                <w:rStyle w:val="16"/>
                <w:rFonts w:hint="eastAsia" w:ascii="Times New Roman" w:hAnsi="宋体" w:eastAsia="仿宋" w:cs="宋体"/>
                <w:b w:val="0"/>
                <w:bCs w:val="0"/>
                <w:i w:val="0"/>
                <w:iCs w:val="0"/>
                <w:caps w:val="0"/>
                <w:color w:val="auto"/>
                <w:spacing w:val="0"/>
                <w:kern w:val="0"/>
                <w:sz w:val="21"/>
                <w:szCs w:val="21"/>
                <w:highlight w:val="none"/>
                <w:shd w:val="clear" w:fill="auto"/>
                <w:lang w:bidi="ar"/>
              </w:rPr>
              <w:t>“农文旅商创居”六维融合</w:t>
            </w:r>
            <w:r>
              <w:rPr>
                <w:rStyle w:val="16"/>
                <w:rFonts w:hint="eastAsia" w:hAnsi="宋体" w:cs="宋体"/>
                <w:b w:val="0"/>
                <w:bCs w:val="0"/>
                <w:i w:val="0"/>
                <w:iCs w:val="0"/>
                <w:caps w:val="0"/>
                <w:color w:val="auto"/>
                <w:spacing w:val="0"/>
                <w:kern w:val="0"/>
                <w:sz w:val="21"/>
                <w:szCs w:val="21"/>
                <w:highlight w:val="none"/>
                <w:shd w:val="clear" w:fill="auto"/>
                <w:lang w:eastAsia="zh-CN" w:bidi="ar"/>
              </w:rPr>
              <w:t>，</w:t>
            </w:r>
            <w:r>
              <w:rPr>
                <w:rStyle w:val="16"/>
                <w:rFonts w:hint="eastAsia" w:hAnsi="宋体" w:cs="宋体"/>
                <w:b w:val="0"/>
                <w:bCs w:val="0"/>
                <w:i w:val="0"/>
                <w:iCs w:val="0"/>
                <w:caps w:val="0"/>
                <w:color w:val="auto"/>
                <w:spacing w:val="0"/>
                <w:kern w:val="0"/>
                <w:sz w:val="21"/>
                <w:szCs w:val="21"/>
                <w:highlight w:val="none"/>
                <w:shd w:val="clear" w:fill="auto"/>
                <w:lang w:val="en-US" w:eastAsia="zh-CN" w:bidi="ar"/>
              </w:rPr>
              <w:t>推动海陵乡村地区逐步转化为主城的功能延伸区、消费承接区、活力拓展区</w:t>
            </w:r>
            <w:r>
              <w:rPr>
                <w:rFonts w:hint="eastAsia" w:hAnsi="宋体" w:cs="宋体"/>
                <w:b w:val="0"/>
                <w:bCs w:val="0"/>
                <w:i w:val="0"/>
                <w:iCs w:val="0"/>
                <w:caps w:val="0"/>
                <w:color w:val="auto"/>
                <w:spacing w:val="0"/>
                <w:kern w:val="0"/>
                <w:sz w:val="21"/>
                <w:szCs w:val="21"/>
                <w:highlight w:val="none"/>
                <w:shd w:val="clear"/>
                <w:lang w:eastAsia="zh-CN" w:bidi="ar"/>
              </w:rPr>
              <w:t>。</w:t>
            </w:r>
          </w:p>
          <w:p w14:paraId="790A5CC5">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firstLine="0"/>
              <w:textAlignment w:val="baseline"/>
              <w:rPr>
                <w:rFonts w:hint="eastAsia" w:hAnsi="宋体" w:cs="宋体"/>
                <w:b w:val="0"/>
                <w:bCs w:val="0"/>
                <w:i w:val="0"/>
                <w:iCs w:val="0"/>
                <w:caps w:val="0"/>
                <w:color w:val="auto"/>
                <w:spacing w:val="0"/>
                <w:kern w:val="0"/>
                <w:sz w:val="21"/>
                <w:szCs w:val="21"/>
                <w:highlight w:val="none"/>
                <w:shd w:val="clear"/>
                <w:lang w:eastAsia="zh-CN" w:bidi="ar"/>
              </w:rPr>
            </w:pPr>
            <w:r>
              <w:rPr>
                <w:rFonts w:hint="eastAsia" w:hAnsi="宋体" w:cs="宋体"/>
                <w:b/>
                <w:bCs/>
                <w:i w:val="0"/>
                <w:iCs w:val="0"/>
                <w:caps w:val="0"/>
                <w:color w:val="auto"/>
                <w:spacing w:val="0"/>
                <w:kern w:val="0"/>
                <w:sz w:val="21"/>
                <w:szCs w:val="21"/>
                <w:highlight w:val="none"/>
                <w:shd w:val="clear"/>
                <w:lang w:eastAsia="zh-CN" w:bidi="ar"/>
              </w:rPr>
              <w:t>“农”：突出精致农业+市民农园。</w:t>
            </w:r>
            <w:r>
              <w:rPr>
                <w:rFonts w:hint="eastAsia" w:hAnsi="宋体" w:cs="宋体"/>
                <w:b w:val="0"/>
                <w:bCs w:val="0"/>
                <w:i w:val="0"/>
                <w:iCs w:val="0"/>
                <w:caps w:val="0"/>
                <w:color w:val="auto"/>
                <w:spacing w:val="0"/>
                <w:kern w:val="0"/>
                <w:sz w:val="21"/>
                <w:szCs w:val="21"/>
                <w:highlight w:val="none"/>
                <w:shd w:val="clear"/>
                <w:lang w:eastAsia="zh-CN" w:bidi="ar"/>
              </w:rPr>
              <w:t>鼓励现有经营主体</w:t>
            </w:r>
            <w:r>
              <w:rPr>
                <w:rFonts w:hint="eastAsia" w:hAnsi="宋体" w:cs="宋体"/>
                <w:b w:val="0"/>
                <w:bCs w:val="0"/>
                <w:i w:val="0"/>
                <w:iCs w:val="0"/>
                <w:caps w:val="0"/>
                <w:color w:val="auto"/>
                <w:spacing w:val="0"/>
                <w:kern w:val="0"/>
                <w:sz w:val="21"/>
                <w:szCs w:val="21"/>
                <w:highlight w:val="none"/>
                <w:shd w:val="clear"/>
                <w:lang w:val="en-US" w:eastAsia="zh-CN" w:bidi="ar"/>
              </w:rPr>
              <w:t>在发展</w:t>
            </w:r>
            <w:r>
              <w:rPr>
                <w:rFonts w:hint="eastAsia" w:hAnsi="宋体" w:cs="宋体"/>
                <w:b w:val="0"/>
                <w:bCs w:val="0"/>
                <w:i w:val="0"/>
                <w:iCs w:val="0"/>
                <w:caps w:val="0"/>
                <w:color w:val="auto"/>
                <w:spacing w:val="0"/>
                <w:kern w:val="0"/>
                <w:sz w:val="21"/>
                <w:szCs w:val="21"/>
                <w:highlight w:val="none"/>
                <w:shd w:val="clear"/>
                <w:lang w:eastAsia="zh-CN" w:bidi="ar"/>
              </w:rPr>
              <w:t>精品果蔬、观赏园艺</w:t>
            </w:r>
            <w:r>
              <w:rPr>
                <w:rFonts w:hint="eastAsia" w:hAnsi="宋体" w:cs="宋体"/>
                <w:b w:val="0"/>
                <w:bCs w:val="0"/>
                <w:i w:val="0"/>
                <w:iCs w:val="0"/>
                <w:caps w:val="0"/>
                <w:color w:val="auto"/>
                <w:spacing w:val="0"/>
                <w:kern w:val="0"/>
                <w:sz w:val="21"/>
                <w:szCs w:val="21"/>
                <w:highlight w:val="none"/>
                <w:shd w:val="clear"/>
                <w:lang w:val="en-US" w:eastAsia="zh-CN" w:bidi="ar"/>
              </w:rPr>
              <w:t>的基础上</w:t>
            </w:r>
            <w:r>
              <w:rPr>
                <w:rFonts w:hint="eastAsia" w:hAnsi="宋体" w:cs="宋体"/>
                <w:b w:val="0"/>
                <w:bCs w:val="0"/>
                <w:i w:val="0"/>
                <w:iCs w:val="0"/>
                <w:caps w:val="0"/>
                <w:color w:val="auto"/>
                <w:spacing w:val="0"/>
                <w:kern w:val="0"/>
                <w:sz w:val="21"/>
                <w:szCs w:val="21"/>
                <w:highlight w:val="none"/>
                <w:shd w:val="clear"/>
                <w:lang w:eastAsia="zh-CN" w:bidi="ar"/>
              </w:rPr>
              <w:t>，</w:t>
            </w:r>
            <w:r>
              <w:rPr>
                <w:rFonts w:hint="eastAsia" w:hAnsi="宋体" w:cs="宋体"/>
                <w:b w:val="0"/>
                <w:bCs w:val="0"/>
                <w:i w:val="0"/>
                <w:iCs w:val="0"/>
                <w:caps w:val="0"/>
                <w:color w:val="auto"/>
                <w:spacing w:val="0"/>
                <w:kern w:val="0"/>
                <w:sz w:val="21"/>
                <w:szCs w:val="21"/>
                <w:highlight w:val="none"/>
                <w:shd w:val="clear"/>
                <w:lang w:val="en-US" w:eastAsia="zh-CN" w:bidi="ar"/>
              </w:rPr>
              <w:t>发展</w:t>
            </w:r>
            <w:r>
              <w:rPr>
                <w:rFonts w:hint="eastAsia" w:hAnsi="宋体" w:cs="宋体"/>
                <w:b w:val="0"/>
                <w:bCs w:val="0"/>
                <w:i w:val="0"/>
                <w:iCs w:val="0"/>
                <w:caps w:val="0"/>
                <w:color w:val="auto"/>
                <w:spacing w:val="0"/>
                <w:kern w:val="0"/>
                <w:sz w:val="21"/>
                <w:szCs w:val="21"/>
                <w:highlight w:val="none"/>
                <w:shd w:val="clear"/>
                <w:lang w:eastAsia="zh-CN" w:bidi="ar"/>
              </w:rPr>
              <w:t>市民</w:t>
            </w:r>
            <w:r>
              <w:rPr>
                <w:rFonts w:hint="eastAsia" w:hAnsi="宋体" w:cs="宋体"/>
                <w:b w:val="0"/>
                <w:bCs w:val="0"/>
                <w:i w:val="0"/>
                <w:iCs w:val="0"/>
                <w:caps w:val="0"/>
                <w:color w:val="auto"/>
                <w:spacing w:val="0"/>
                <w:kern w:val="0"/>
                <w:sz w:val="21"/>
                <w:szCs w:val="21"/>
                <w:highlight w:val="none"/>
                <w:shd w:val="clear"/>
                <w:lang w:val="en-US" w:eastAsia="zh-CN" w:bidi="ar"/>
              </w:rPr>
              <w:t>农园</w:t>
            </w:r>
            <w:r>
              <w:rPr>
                <w:rFonts w:hint="eastAsia" w:hAnsi="宋体" w:cs="宋体"/>
                <w:b w:val="0"/>
                <w:bCs w:val="0"/>
                <w:i w:val="0"/>
                <w:iCs w:val="0"/>
                <w:caps w:val="0"/>
                <w:color w:val="auto"/>
                <w:spacing w:val="0"/>
                <w:kern w:val="0"/>
                <w:sz w:val="21"/>
                <w:szCs w:val="21"/>
                <w:highlight w:val="none"/>
                <w:shd w:val="clear"/>
                <w:lang w:eastAsia="zh-CN" w:bidi="ar"/>
              </w:rPr>
              <w:t>、亲子采摘园、</w:t>
            </w:r>
            <w:r>
              <w:rPr>
                <w:rFonts w:hint="eastAsia" w:hAnsi="宋体" w:cs="宋体"/>
                <w:b w:val="0"/>
                <w:bCs w:val="0"/>
                <w:i w:val="0"/>
                <w:iCs w:val="0"/>
                <w:caps w:val="0"/>
                <w:color w:val="auto"/>
                <w:spacing w:val="0"/>
                <w:kern w:val="0"/>
                <w:sz w:val="21"/>
                <w:szCs w:val="21"/>
                <w:highlight w:val="none"/>
                <w:shd w:val="clear"/>
                <w:lang w:val="en-US" w:eastAsia="zh-CN" w:bidi="ar"/>
              </w:rPr>
              <w:t>休闲垂钓园等多元业态组合</w:t>
            </w:r>
            <w:r>
              <w:rPr>
                <w:rFonts w:hint="eastAsia" w:hAnsi="宋体" w:cs="宋体"/>
                <w:b w:val="0"/>
                <w:bCs w:val="0"/>
                <w:i w:val="0"/>
                <w:iCs w:val="0"/>
                <w:caps w:val="0"/>
                <w:color w:val="auto"/>
                <w:spacing w:val="0"/>
                <w:kern w:val="0"/>
                <w:sz w:val="21"/>
                <w:szCs w:val="21"/>
                <w:highlight w:val="none"/>
                <w:shd w:val="clear"/>
                <w:lang w:eastAsia="zh-CN" w:bidi="ar"/>
              </w:rPr>
              <w:t>，推动农业从生产型向“生产+生活+生态”复合型转变。</w:t>
            </w:r>
          </w:p>
          <w:p w14:paraId="4BFCCA57">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firstLine="0"/>
              <w:textAlignment w:val="baseline"/>
              <w:rPr>
                <w:rFonts w:hint="eastAsia" w:ascii="Times New Roman" w:hAnsi="宋体" w:eastAsia="仿宋" w:cs="宋体"/>
                <w:i w:val="0"/>
                <w:iCs w:val="0"/>
                <w:caps w:val="0"/>
                <w:color w:val="auto"/>
                <w:spacing w:val="0"/>
                <w:kern w:val="0"/>
                <w:sz w:val="21"/>
                <w:szCs w:val="21"/>
                <w:highlight w:val="none"/>
                <w:shd w:val="clear" w:fill="auto"/>
                <w:lang w:bidi="ar"/>
              </w:rPr>
            </w:pPr>
            <w:r>
              <w:rPr>
                <w:rFonts w:hint="eastAsia" w:hAnsi="宋体" w:cs="宋体"/>
                <w:b/>
                <w:bCs/>
                <w:i w:val="0"/>
                <w:iCs w:val="0"/>
                <w:caps w:val="0"/>
                <w:color w:val="auto"/>
                <w:spacing w:val="0"/>
                <w:kern w:val="0"/>
                <w:sz w:val="21"/>
                <w:szCs w:val="21"/>
                <w:highlight w:val="none"/>
                <w:shd w:val="clear"/>
                <w:lang w:eastAsia="zh-CN" w:bidi="ar"/>
              </w:rPr>
              <w:t>“</w:t>
            </w:r>
            <w:r>
              <w:rPr>
                <w:rFonts w:hint="eastAsia" w:ascii="Times New Roman" w:hAnsi="宋体" w:eastAsia="仿宋" w:cs="宋体"/>
                <w:b/>
                <w:bCs/>
                <w:i w:val="0"/>
                <w:iCs w:val="0"/>
                <w:caps w:val="0"/>
                <w:color w:val="auto"/>
                <w:spacing w:val="0"/>
                <w:kern w:val="0"/>
                <w:sz w:val="21"/>
                <w:szCs w:val="21"/>
                <w:highlight w:val="none"/>
                <w:shd w:val="clear"/>
                <w:lang w:bidi="ar"/>
              </w:rPr>
              <w:t>文</w:t>
            </w:r>
            <w:r>
              <w:rPr>
                <w:rFonts w:hint="eastAsia" w:hAnsi="宋体" w:cs="宋体"/>
                <w:b/>
                <w:bCs/>
                <w:i w:val="0"/>
                <w:iCs w:val="0"/>
                <w:caps w:val="0"/>
                <w:color w:val="auto"/>
                <w:spacing w:val="0"/>
                <w:kern w:val="0"/>
                <w:sz w:val="21"/>
                <w:szCs w:val="21"/>
                <w:highlight w:val="none"/>
                <w:shd w:val="clear"/>
                <w:lang w:eastAsia="zh-CN" w:bidi="ar"/>
              </w:rPr>
              <w:t>”</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w:t>
            </w:r>
            <w:r>
              <w:rPr>
                <w:rStyle w:val="16"/>
                <w:rFonts w:hint="eastAsia" w:hAnsi="宋体" w:cs="宋体"/>
                <w:b/>
                <w:bCs/>
                <w:i w:val="0"/>
                <w:iCs w:val="0"/>
                <w:caps w:val="0"/>
                <w:color w:val="auto"/>
                <w:spacing w:val="0"/>
                <w:kern w:val="0"/>
                <w:sz w:val="21"/>
                <w:szCs w:val="21"/>
                <w:highlight w:val="none"/>
                <w:shd w:val="clear" w:fill="auto"/>
                <w:lang w:val="en-US" w:eastAsia="zh-CN" w:bidi="ar"/>
              </w:rPr>
              <w:t>突出</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乡土文化+主城记忆</w:t>
            </w:r>
            <w:r>
              <w:rPr>
                <w:rFonts w:hint="eastAsia" w:hAnsi="宋体" w:cs="宋体"/>
                <w:b/>
                <w:bCs/>
                <w:i w:val="0"/>
                <w:iCs w:val="0"/>
                <w:caps w:val="0"/>
                <w:color w:val="auto"/>
                <w:spacing w:val="0"/>
                <w:kern w:val="0"/>
                <w:sz w:val="21"/>
                <w:szCs w:val="21"/>
                <w:highlight w:val="none"/>
                <w:shd w:val="clear"/>
                <w:lang w:eastAsia="zh-CN" w:bidi="ar"/>
              </w:rPr>
              <w:t>。</w:t>
            </w:r>
            <w:r>
              <w:rPr>
                <w:rFonts w:hint="eastAsia" w:ascii="Times New Roman" w:hAnsi="宋体" w:eastAsia="仿宋" w:cs="宋体"/>
                <w:i w:val="0"/>
                <w:iCs w:val="0"/>
                <w:caps w:val="0"/>
                <w:color w:val="auto"/>
                <w:spacing w:val="0"/>
                <w:kern w:val="0"/>
                <w:sz w:val="21"/>
                <w:szCs w:val="21"/>
                <w:highlight w:val="none"/>
                <w:shd w:val="clear" w:fill="auto"/>
                <w:lang w:bidi="ar"/>
              </w:rPr>
              <w:t>挖掘海陵水乡文化、盐税文化、民俗非遗等</w:t>
            </w:r>
            <w:r>
              <w:rPr>
                <w:rFonts w:hint="eastAsia" w:hAnsi="宋体" w:cs="宋体"/>
                <w:i w:val="0"/>
                <w:iCs w:val="0"/>
                <w:caps w:val="0"/>
                <w:color w:val="auto"/>
                <w:spacing w:val="0"/>
                <w:kern w:val="0"/>
                <w:sz w:val="21"/>
                <w:szCs w:val="21"/>
                <w:highlight w:val="none"/>
                <w:shd w:val="clear" w:fill="auto"/>
                <w:lang w:val="en-US" w:eastAsia="zh-CN" w:bidi="ar"/>
              </w:rPr>
              <w:t>文化</w:t>
            </w:r>
            <w:r>
              <w:rPr>
                <w:rFonts w:hint="eastAsia" w:ascii="Times New Roman" w:hAnsi="宋体" w:eastAsia="仿宋" w:cs="宋体"/>
                <w:i w:val="0"/>
                <w:iCs w:val="0"/>
                <w:caps w:val="0"/>
                <w:color w:val="auto"/>
                <w:spacing w:val="0"/>
                <w:kern w:val="0"/>
                <w:sz w:val="21"/>
                <w:szCs w:val="21"/>
                <w:highlight w:val="none"/>
                <w:shd w:val="clear" w:fill="auto"/>
                <w:lang w:bidi="ar"/>
              </w:rPr>
              <w:t>资源，结合主城文化消费需求，打造乡村文化市集、非遗工坊、主题院落等文化体验节点</w:t>
            </w:r>
            <w:r>
              <w:rPr>
                <w:rFonts w:hint="eastAsia" w:hAnsi="宋体" w:cs="宋体"/>
                <w:i w:val="0"/>
                <w:iCs w:val="0"/>
                <w:caps w:val="0"/>
                <w:color w:val="auto"/>
                <w:spacing w:val="0"/>
                <w:kern w:val="0"/>
                <w:sz w:val="21"/>
                <w:szCs w:val="21"/>
                <w:highlight w:val="none"/>
                <w:shd w:val="clear" w:fill="auto"/>
                <w:lang w:eastAsia="zh-CN" w:bidi="ar"/>
              </w:rPr>
              <w:t>，发展“小而美”文旅业态</w:t>
            </w:r>
            <w:r>
              <w:rPr>
                <w:rFonts w:hint="eastAsia" w:ascii="Times New Roman" w:hAnsi="宋体" w:eastAsia="仿宋" w:cs="宋体"/>
                <w:i w:val="0"/>
                <w:iCs w:val="0"/>
                <w:caps w:val="0"/>
                <w:color w:val="auto"/>
                <w:spacing w:val="0"/>
                <w:kern w:val="0"/>
                <w:sz w:val="21"/>
                <w:szCs w:val="21"/>
                <w:highlight w:val="none"/>
                <w:shd w:val="clear" w:fill="auto"/>
                <w:lang w:bidi="ar"/>
              </w:rPr>
              <w:t>。</w:t>
            </w:r>
          </w:p>
          <w:p w14:paraId="51E23706">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firstLine="0"/>
              <w:textAlignment w:val="baseline"/>
              <w:rPr>
                <w:rFonts w:hint="eastAsia" w:ascii="Times New Roman" w:hAnsi="宋体" w:eastAsia="仿宋" w:cs="宋体"/>
                <w:i w:val="0"/>
                <w:iCs w:val="0"/>
                <w:caps w:val="0"/>
                <w:color w:val="auto"/>
                <w:spacing w:val="0"/>
                <w:kern w:val="0"/>
                <w:sz w:val="21"/>
                <w:szCs w:val="21"/>
                <w:highlight w:val="none"/>
                <w:shd w:val="clear" w:fill="auto"/>
                <w:lang w:bidi="ar"/>
              </w:rPr>
            </w:pPr>
            <w:r>
              <w:rPr>
                <w:rFonts w:hint="eastAsia" w:ascii="Times New Roman" w:hAnsi="宋体" w:eastAsia="仿宋" w:cs="宋体"/>
                <w:b/>
                <w:bCs/>
                <w:i w:val="0"/>
                <w:iCs w:val="0"/>
                <w:caps w:val="0"/>
                <w:color w:val="auto"/>
                <w:spacing w:val="0"/>
                <w:kern w:val="0"/>
                <w:sz w:val="21"/>
                <w:szCs w:val="21"/>
                <w:highlight w:val="none"/>
                <w:shd w:val="clear" w:fill="auto"/>
                <w:lang w:bidi="ar"/>
              </w:rPr>
              <w:t>“旅”：突出微度假+日常休闲。</w:t>
            </w:r>
            <w:r>
              <w:rPr>
                <w:rFonts w:hint="eastAsia" w:ascii="Times New Roman" w:hAnsi="宋体" w:eastAsia="仿宋" w:cs="宋体"/>
                <w:i w:val="0"/>
                <w:iCs w:val="0"/>
                <w:caps w:val="0"/>
                <w:color w:val="auto"/>
                <w:spacing w:val="0"/>
                <w:kern w:val="0"/>
                <w:sz w:val="21"/>
                <w:szCs w:val="21"/>
                <w:highlight w:val="none"/>
                <w:shd w:val="clear" w:fill="auto"/>
                <w:lang w:bidi="ar"/>
              </w:rPr>
              <w:t>依托</w:t>
            </w:r>
            <w:r>
              <w:rPr>
                <w:rFonts w:hint="eastAsia" w:hAnsi="宋体" w:cs="宋体"/>
                <w:i w:val="0"/>
                <w:iCs w:val="0"/>
                <w:caps w:val="0"/>
                <w:color w:val="auto"/>
                <w:spacing w:val="0"/>
                <w:kern w:val="0"/>
                <w:sz w:val="21"/>
                <w:szCs w:val="21"/>
                <w:highlight w:val="none"/>
                <w:shd w:val="clear" w:fill="auto"/>
                <w:lang w:val="en-US" w:eastAsia="zh-CN" w:bidi="ar"/>
              </w:rPr>
              <w:t>海陵区</w:t>
            </w:r>
            <w:r>
              <w:rPr>
                <w:rFonts w:hint="eastAsia" w:ascii="Times New Roman" w:hAnsi="宋体" w:eastAsia="仿宋" w:cs="宋体"/>
                <w:i w:val="0"/>
                <w:iCs w:val="0"/>
                <w:caps w:val="0"/>
                <w:color w:val="auto"/>
                <w:spacing w:val="0"/>
                <w:kern w:val="0"/>
                <w:sz w:val="21"/>
                <w:szCs w:val="21"/>
                <w:highlight w:val="none"/>
                <w:shd w:val="clear" w:fill="auto"/>
                <w:lang w:bidi="ar"/>
              </w:rPr>
              <w:t>田园风光、河网水系，开发周末露营、水上休闲、骑行漫游等轻旅游产品，</w:t>
            </w:r>
            <w:r>
              <w:rPr>
                <w:rFonts w:hint="eastAsia" w:hAnsi="宋体" w:cs="宋体"/>
                <w:i w:val="0"/>
                <w:iCs w:val="0"/>
                <w:caps w:val="0"/>
                <w:color w:val="auto"/>
                <w:spacing w:val="0"/>
                <w:kern w:val="0"/>
                <w:sz w:val="21"/>
                <w:szCs w:val="21"/>
                <w:highlight w:val="none"/>
                <w:shd w:val="clear" w:fill="auto"/>
                <w:lang w:val="en-US" w:eastAsia="zh-CN" w:bidi="ar"/>
              </w:rPr>
              <w:t>串联多条乡村精品旅游路线，</w:t>
            </w:r>
            <w:r>
              <w:rPr>
                <w:rFonts w:hint="eastAsia" w:ascii="Times New Roman" w:hAnsi="宋体" w:eastAsia="仿宋" w:cs="宋体"/>
                <w:i w:val="0"/>
                <w:iCs w:val="0"/>
                <w:caps w:val="0"/>
                <w:color w:val="auto"/>
                <w:spacing w:val="0"/>
                <w:kern w:val="0"/>
                <w:sz w:val="21"/>
                <w:szCs w:val="21"/>
                <w:highlight w:val="none"/>
                <w:shd w:val="clear" w:fill="auto"/>
                <w:lang w:bidi="ar"/>
              </w:rPr>
              <w:t>满足市民高频次、短时长的</w:t>
            </w:r>
            <w:r>
              <w:rPr>
                <w:rFonts w:hint="eastAsia" w:hAnsi="宋体" w:cs="宋体"/>
                <w:i w:val="0"/>
                <w:iCs w:val="0"/>
                <w:caps w:val="0"/>
                <w:color w:val="auto"/>
                <w:spacing w:val="0"/>
                <w:kern w:val="0"/>
                <w:sz w:val="21"/>
                <w:szCs w:val="21"/>
                <w:highlight w:val="none"/>
                <w:shd w:val="clear" w:fill="auto"/>
                <w:lang w:val="en-US" w:eastAsia="zh-CN" w:bidi="ar"/>
              </w:rPr>
              <w:t>微度假</w:t>
            </w:r>
            <w:r>
              <w:rPr>
                <w:rFonts w:hint="eastAsia" w:ascii="Times New Roman" w:hAnsi="宋体" w:eastAsia="仿宋" w:cs="宋体"/>
                <w:i w:val="0"/>
                <w:iCs w:val="0"/>
                <w:caps w:val="0"/>
                <w:color w:val="auto"/>
                <w:spacing w:val="0"/>
                <w:kern w:val="0"/>
                <w:sz w:val="21"/>
                <w:szCs w:val="21"/>
                <w:highlight w:val="none"/>
                <w:shd w:val="clear" w:fill="auto"/>
                <w:lang w:bidi="ar"/>
              </w:rPr>
              <w:t>需求。</w:t>
            </w:r>
          </w:p>
          <w:p w14:paraId="2DD5014C">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firstLine="0"/>
              <w:textAlignment w:val="baseline"/>
              <w:rPr>
                <w:rFonts w:hint="eastAsia" w:hAnsi="宋体" w:cs="宋体"/>
                <w:color w:val="auto"/>
                <w:kern w:val="0"/>
                <w:sz w:val="21"/>
                <w:szCs w:val="21"/>
                <w:highlight w:val="none"/>
                <w:lang w:bidi="ar"/>
              </w:rPr>
            </w:pPr>
            <w:r>
              <w:rPr>
                <w:rFonts w:hint="eastAsia" w:hAnsi="宋体" w:cs="宋体"/>
                <w:b/>
                <w:bCs/>
                <w:i w:val="0"/>
                <w:iCs w:val="0"/>
                <w:caps w:val="0"/>
                <w:color w:val="auto"/>
                <w:spacing w:val="0"/>
                <w:kern w:val="0"/>
                <w:sz w:val="21"/>
                <w:szCs w:val="21"/>
                <w:highlight w:val="none"/>
                <w:shd w:val="clear"/>
                <w:lang w:eastAsia="zh-CN" w:bidi="ar"/>
              </w:rPr>
              <w:t>“</w:t>
            </w:r>
            <w:r>
              <w:rPr>
                <w:rFonts w:hint="eastAsia" w:ascii="Times New Roman" w:hAnsi="宋体" w:eastAsia="仿宋" w:cs="宋体"/>
                <w:b/>
                <w:bCs/>
                <w:i w:val="0"/>
                <w:iCs w:val="0"/>
                <w:caps w:val="0"/>
                <w:color w:val="auto"/>
                <w:spacing w:val="0"/>
                <w:kern w:val="0"/>
                <w:sz w:val="21"/>
                <w:szCs w:val="21"/>
                <w:highlight w:val="none"/>
                <w:shd w:val="clear"/>
                <w:lang w:bidi="ar"/>
              </w:rPr>
              <w:t>商</w:t>
            </w:r>
            <w:r>
              <w:rPr>
                <w:rFonts w:hint="eastAsia" w:hAnsi="宋体" w:cs="宋体"/>
                <w:b/>
                <w:bCs/>
                <w:i w:val="0"/>
                <w:iCs w:val="0"/>
                <w:caps w:val="0"/>
                <w:color w:val="auto"/>
                <w:spacing w:val="0"/>
                <w:kern w:val="0"/>
                <w:sz w:val="21"/>
                <w:szCs w:val="21"/>
                <w:highlight w:val="none"/>
                <w:shd w:val="clear"/>
                <w:lang w:eastAsia="zh-CN" w:bidi="ar"/>
              </w:rPr>
              <w:t>”</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w:t>
            </w:r>
            <w:r>
              <w:rPr>
                <w:rStyle w:val="16"/>
                <w:rFonts w:hint="eastAsia" w:hAnsi="宋体" w:cs="宋体"/>
                <w:b/>
                <w:bCs/>
                <w:i w:val="0"/>
                <w:iCs w:val="0"/>
                <w:caps w:val="0"/>
                <w:color w:val="auto"/>
                <w:spacing w:val="0"/>
                <w:kern w:val="0"/>
                <w:sz w:val="21"/>
                <w:szCs w:val="21"/>
                <w:highlight w:val="none"/>
                <w:shd w:val="clear" w:fill="auto"/>
                <w:lang w:val="en-US" w:eastAsia="zh-CN" w:bidi="ar"/>
              </w:rPr>
              <w:t>突出</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社区支持农业+乡村新消费</w:t>
            </w:r>
            <w:r>
              <w:rPr>
                <w:rFonts w:hint="eastAsia" w:hAnsi="宋体" w:cs="宋体"/>
                <w:b/>
                <w:bCs/>
                <w:i w:val="0"/>
                <w:iCs w:val="0"/>
                <w:caps w:val="0"/>
                <w:color w:val="auto"/>
                <w:spacing w:val="0"/>
                <w:kern w:val="0"/>
                <w:sz w:val="21"/>
                <w:szCs w:val="21"/>
                <w:highlight w:val="none"/>
                <w:shd w:val="clear"/>
                <w:lang w:eastAsia="zh-CN" w:bidi="ar"/>
              </w:rPr>
              <w:t>。</w:t>
            </w:r>
            <w:r>
              <w:rPr>
                <w:rFonts w:hint="eastAsia" w:hAnsi="宋体" w:cs="宋体"/>
                <w:b w:val="0"/>
                <w:bCs w:val="0"/>
                <w:i w:val="0"/>
                <w:iCs w:val="0"/>
                <w:caps w:val="0"/>
                <w:color w:val="auto"/>
                <w:spacing w:val="0"/>
                <w:kern w:val="0"/>
                <w:sz w:val="21"/>
                <w:szCs w:val="21"/>
                <w:highlight w:val="none"/>
                <w:shd w:val="clear"/>
                <w:lang w:val="en-US" w:eastAsia="zh-CN" w:bidi="ar"/>
              </w:rPr>
              <w:t>鼓励</w:t>
            </w:r>
            <w:r>
              <w:rPr>
                <w:rFonts w:hint="eastAsia" w:ascii="Times New Roman" w:hAnsi="宋体" w:eastAsia="仿宋" w:cs="宋体"/>
                <w:i w:val="0"/>
                <w:iCs w:val="0"/>
                <w:caps w:val="0"/>
                <w:color w:val="auto"/>
                <w:spacing w:val="0"/>
                <w:kern w:val="0"/>
                <w:sz w:val="21"/>
                <w:szCs w:val="21"/>
                <w:highlight w:val="none"/>
                <w:shd w:val="clear" w:fill="auto"/>
                <w:lang w:bidi="ar"/>
              </w:rPr>
              <w:t>搭建“城区订单+乡村直供”产销平台，为城市居民提供新鲜、安全、健康的农产品</w:t>
            </w:r>
            <w:r>
              <w:rPr>
                <w:rFonts w:hint="eastAsia" w:hAnsi="宋体" w:cs="宋体"/>
                <w:i w:val="0"/>
                <w:iCs w:val="0"/>
                <w:caps w:val="0"/>
                <w:color w:val="auto"/>
                <w:spacing w:val="0"/>
                <w:kern w:val="0"/>
                <w:sz w:val="21"/>
                <w:szCs w:val="21"/>
                <w:highlight w:val="none"/>
                <w:shd w:val="clear" w:fill="auto"/>
                <w:lang w:eastAsia="zh-CN" w:bidi="ar"/>
              </w:rPr>
              <w:t>，</w:t>
            </w:r>
            <w:r>
              <w:rPr>
                <w:rFonts w:hint="eastAsia" w:ascii="Times New Roman" w:hAnsi="宋体" w:eastAsia="仿宋" w:cs="宋体"/>
                <w:i w:val="0"/>
                <w:iCs w:val="0"/>
                <w:caps w:val="0"/>
                <w:color w:val="auto"/>
                <w:spacing w:val="0"/>
                <w:kern w:val="0"/>
                <w:sz w:val="21"/>
                <w:szCs w:val="21"/>
                <w:highlight w:val="none"/>
                <w:shd w:val="clear" w:fill="auto"/>
                <w:lang w:bidi="ar"/>
              </w:rPr>
              <w:t>培育乡村咖啡厅、主题民宿、创意小店</w:t>
            </w:r>
            <w:r>
              <w:rPr>
                <w:rFonts w:hint="eastAsia" w:hAnsi="宋体" w:cs="宋体"/>
                <w:i w:val="0"/>
                <w:iCs w:val="0"/>
                <w:caps w:val="0"/>
                <w:color w:val="auto"/>
                <w:spacing w:val="0"/>
                <w:kern w:val="0"/>
                <w:sz w:val="21"/>
                <w:szCs w:val="21"/>
                <w:highlight w:val="none"/>
                <w:shd w:val="clear"/>
                <w:lang w:eastAsia="zh-CN" w:bidi="ar"/>
              </w:rPr>
              <w:t>、</w:t>
            </w:r>
            <w:r>
              <w:rPr>
                <w:rFonts w:hint="eastAsia" w:hAnsi="宋体" w:cs="宋体"/>
                <w:i w:val="0"/>
                <w:iCs w:val="0"/>
                <w:caps w:val="0"/>
                <w:color w:val="auto"/>
                <w:spacing w:val="0"/>
                <w:kern w:val="0"/>
                <w:sz w:val="21"/>
                <w:szCs w:val="21"/>
                <w:highlight w:val="none"/>
                <w:shd w:val="clear"/>
                <w:lang w:val="en-US" w:eastAsia="zh-CN" w:bidi="ar"/>
              </w:rPr>
              <w:t>直播带货</w:t>
            </w:r>
            <w:r>
              <w:rPr>
                <w:rFonts w:hint="eastAsia" w:ascii="Times New Roman" w:hAnsi="宋体" w:eastAsia="仿宋" w:cs="宋体"/>
                <w:i w:val="0"/>
                <w:iCs w:val="0"/>
                <w:caps w:val="0"/>
                <w:color w:val="auto"/>
                <w:spacing w:val="0"/>
                <w:kern w:val="0"/>
                <w:sz w:val="21"/>
                <w:szCs w:val="21"/>
                <w:highlight w:val="none"/>
                <w:shd w:val="clear" w:fill="auto"/>
                <w:lang w:bidi="ar"/>
              </w:rPr>
              <w:t>等新消费场景，</w:t>
            </w:r>
            <w:r>
              <w:rPr>
                <w:rFonts w:hint="eastAsia" w:hAnsi="宋体" w:cs="宋体"/>
                <w:i w:val="0"/>
                <w:iCs w:val="0"/>
                <w:caps w:val="0"/>
                <w:color w:val="auto"/>
                <w:spacing w:val="0"/>
                <w:kern w:val="0"/>
                <w:sz w:val="21"/>
                <w:szCs w:val="21"/>
                <w:highlight w:val="none"/>
                <w:shd w:val="clear" w:fill="auto"/>
                <w:lang w:val="en-US" w:eastAsia="zh-CN" w:bidi="ar"/>
              </w:rPr>
              <w:t>激发乡村消费潜力</w:t>
            </w:r>
            <w:r>
              <w:rPr>
                <w:rFonts w:hint="eastAsia" w:ascii="Times New Roman" w:hAnsi="宋体" w:eastAsia="仿宋" w:cs="宋体"/>
                <w:i w:val="0"/>
                <w:iCs w:val="0"/>
                <w:caps w:val="0"/>
                <w:color w:val="auto"/>
                <w:spacing w:val="0"/>
                <w:kern w:val="0"/>
                <w:sz w:val="21"/>
                <w:szCs w:val="21"/>
                <w:highlight w:val="none"/>
                <w:shd w:val="clear" w:fill="auto"/>
                <w:lang w:bidi="ar"/>
              </w:rPr>
              <w:t>。</w:t>
            </w:r>
          </w:p>
          <w:p w14:paraId="765EA2C5">
            <w:pPr>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firstLine="0"/>
              <w:textAlignment w:val="baseline"/>
              <w:rPr>
                <w:rFonts w:hint="eastAsia" w:hAnsi="宋体" w:cs="宋体"/>
                <w:color w:val="auto"/>
                <w:kern w:val="0"/>
                <w:sz w:val="21"/>
                <w:szCs w:val="21"/>
                <w:highlight w:val="none"/>
                <w:lang w:bidi="ar"/>
              </w:rPr>
            </w:pPr>
            <w:r>
              <w:rPr>
                <w:rFonts w:hint="eastAsia" w:hAnsi="宋体" w:cs="宋体"/>
                <w:b/>
                <w:bCs/>
                <w:i w:val="0"/>
                <w:iCs w:val="0"/>
                <w:caps w:val="0"/>
                <w:color w:val="auto"/>
                <w:spacing w:val="0"/>
                <w:kern w:val="0"/>
                <w:sz w:val="21"/>
                <w:szCs w:val="21"/>
                <w:highlight w:val="none"/>
                <w:shd w:val="clear"/>
                <w:lang w:eastAsia="zh-CN" w:bidi="ar"/>
              </w:rPr>
              <w:t>“</w:t>
            </w:r>
            <w:r>
              <w:rPr>
                <w:rFonts w:hint="eastAsia" w:ascii="Times New Roman" w:hAnsi="宋体" w:eastAsia="仿宋" w:cs="宋体"/>
                <w:b/>
                <w:bCs/>
                <w:i w:val="0"/>
                <w:iCs w:val="0"/>
                <w:caps w:val="0"/>
                <w:color w:val="auto"/>
                <w:spacing w:val="0"/>
                <w:kern w:val="0"/>
                <w:sz w:val="21"/>
                <w:szCs w:val="21"/>
                <w:highlight w:val="none"/>
                <w:shd w:val="clear"/>
                <w:lang w:bidi="ar"/>
              </w:rPr>
              <w:t>创</w:t>
            </w:r>
            <w:r>
              <w:rPr>
                <w:rFonts w:hint="eastAsia" w:hAnsi="宋体" w:cs="宋体"/>
                <w:b/>
                <w:bCs/>
                <w:i w:val="0"/>
                <w:iCs w:val="0"/>
                <w:caps w:val="0"/>
                <w:color w:val="auto"/>
                <w:spacing w:val="0"/>
                <w:kern w:val="0"/>
                <w:sz w:val="21"/>
                <w:szCs w:val="21"/>
                <w:highlight w:val="none"/>
                <w:shd w:val="clear"/>
                <w:lang w:eastAsia="zh-CN" w:bidi="ar"/>
              </w:rPr>
              <w:t>”</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w:t>
            </w:r>
            <w:r>
              <w:rPr>
                <w:rStyle w:val="16"/>
                <w:rFonts w:hint="eastAsia" w:hAnsi="宋体" w:cs="宋体"/>
                <w:b/>
                <w:bCs/>
                <w:i w:val="0"/>
                <w:iCs w:val="0"/>
                <w:caps w:val="0"/>
                <w:color w:val="auto"/>
                <w:spacing w:val="0"/>
                <w:kern w:val="0"/>
                <w:sz w:val="21"/>
                <w:szCs w:val="21"/>
                <w:highlight w:val="none"/>
                <w:shd w:val="clear" w:fill="auto"/>
                <w:lang w:val="en-US" w:eastAsia="zh-CN" w:bidi="ar"/>
              </w:rPr>
              <w:t>突出</w:t>
            </w:r>
            <w:r>
              <w:rPr>
                <w:rStyle w:val="16"/>
                <w:rFonts w:hint="eastAsia" w:ascii="Times New Roman" w:hAnsi="宋体" w:eastAsia="仿宋" w:cs="宋体"/>
                <w:b/>
                <w:bCs/>
                <w:i w:val="0"/>
                <w:iCs w:val="0"/>
                <w:caps w:val="0"/>
                <w:color w:val="auto"/>
                <w:spacing w:val="0"/>
                <w:kern w:val="0"/>
                <w:sz w:val="21"/>
                <w:szCs w:val="21"/>
                <w:highlight w:val="none"/>
                <w:shd w:val="clear" w:fill="auto"/>
                <w:lang w:bidi="ar"/>
              </w:rPr>
              <w:t>青年创业+城乡协作</w:t>
            </w:r>
            <w:r>
              <w:rPr>
                <w:rFonts w:hint="eastAsia" w:hAnsi="宋体" w:cs="宋体"/>
                <w:b/>
                <w:bCs/>
                <w:i w:val="0"/>
                <w:iCs w:val="0"/>
                <w:caps w:val="0"/>
                <w:color w:val="auto"/>
                <w:spacing w:val="0"/>
                <w:kern w:val="0"/>
                <w:sz w:val="21"/>
                <w:szCs w:val="21"/>
                <w:highlight w:val="none"/>
                <w:shd w:val="clear"/>
                <w:lang w:eastAsia="zh-CN" w:bidi="ar"/>
              </w:rPr>
              <w:t>。</w:t>
            </w:r>
            <w:r>
              <w:rPr>
                <w:rFonts w:hint="eastAsia" w:ascii="Times New Roman" w:hAnsi="宋体" w:eastAsia="仿宋" w:cs="宋体"/>
                <w:i w:val="0"/>
                <w:iCs w:val="0"/>
                <w:caps w:val="0"/>
                <w:color w:val="auto"/>
                <w:spacing w:val="0"/>
                <w:kern w:val="0"/>
                <w:sz w:val="21"/>
                <w:szCs w:val="21"/>
                <w:highlight w:val="none"/>
                <w:shd w:val="clear" w:fill="auto"/>
                <w:lang w:bidi="ar"/>
              </w:rPr>
              <w:t>利用</w:t>
            </w:r>
            <w:r>
              <w:rPr>
                <w:rFonts w:hint="eastAsia" w:hAnsi="宋体" w:cs="宋体"/>
                <w:i w:val="0"/>
                <w:iCs w:val="0"/>
                <w:caps w:val="0"/>
                <w:color w:val="auto"/>
                <w:spacing w:val="0"/>
                <w:kern w:val="0"/>
                <w:sz w:val="21"/>
                <w:szCs w:val="21"/>
                <w:highlight w:val="none"/>
                <w:shd w:val="clear" w:fill="auto"/>
                <w:lang w:val="en-US" w:eastAsia="zh-CN" w:bidi="ar"/>
              </w:rPr>
              <w:t>近城</w:t>
            </w:r>
            <w:r>
              <w:rPr>
                <w:rFonts w:hint="eastAsia" w:ascii="Times New Roman" w:hAnsi="宋体" w:eastAsia="仿宋" w:cs="宋体"/>
                <w:i w:val="0"/>
                <w:iCs w:val="0"/>
                <w:caps w:val="0"/>
                <w:color w:val="auto"/>
                <w:spacing w:val="0"/>
                <w:kern w:val="0"/>
                <w:sz w:val="21"/>
                <w:szCs w:val="21"/>
                <w:highlight w:val="none"/>
                <w:shd w:val="clear" w:fill="auto"/>
                <w:lang w:bidi="ar"/>
              </w:rPr>
              <w:t>区位和低成本空间</w:t>
            </w:r>
            <w:r>
              <w:rPr>
                <w:rFonts w:hint="eastAsia" w:hAnsi="宋体" w:cs="宋体"/>
                <w:i w:val="0"/>
                <w:iCs w:val="0"/>
                <w:caps w:val="0"/>
                <w:color w:val="auto"/>
                <w:spacing w:val="0"/>
                <w:kern w:val="0"/>
                <w:sz w:val="21"/>
                <w:szCs w:val="21"/>
                <w:highlight w:val="none"/>
                <w:shd w:val="clear" w:fill="auto"/>
                <w:lang w:val="en-US" w:eastAsia="zh-CN" w:bidi="ar"/>
              </w:rPr>
              <w:t>优势</w:t>
            </w:r>
            <w:r>
              <w:rPr>
                <w:rFonts w:hint="eastAsia" w:ascii="Times New Roman" w:hAnsi="宋体" w:eastAsia="仿宋" w:cs="宋体"/>
                <w:i w:val="0"/>
                <w:iCs w:val="0"/>
                <w:caps w:val="0"/>
                <w:color w:val="auto"/>
                <w:spacing w:val="0"/>
                <w:kern w:val="0"/>
                <w:sz w:val="21"/>
                <w:szCs w:val="21"/>
                <w:highlight w:val="none"/>
                <w:shd w:val="clear" w:fill="auto"/>
                <w:lang w:bidi="ar"/>
              </w:rPr>
              <w:t>，</w:t>
            </w:r>
            <w:r>
              <w:rPr>
                <w:rFonts w:hint="eastAsia" w:hAnsi="宋体" w:cs="宋体"/>
                <w:i w:val="0"/>
                <w:iCs w:val="0"/>
                <w:caps w:val="0"/>
                <w:color w:val="auto"/>
                <w:spacing w:val="0"/>
                <w:kern w:val="0"/>
                <w:sz w:val="21"/>
                <w:szCs w:val="21"/>
                <w:highlight w:val="none"/>
                <w:shd w:val="clear" w:fill="auto"/>
                <w:lang w:val="en-US" w:eastAsia="zh-CN" w:bidi="ar"/>
              </w:rPr>
              <w:t>盘活利用闲置资源，</w:t>
            </w:r>
            <w:r>
              <w:rPr>
                <w:rFonts w:hint="eastAsia" w:ascii="Times New Roman" w:hAnsi="宋体" w:eastAsia="仿宋" w:cs="宋体"/>
                <w:i w:val="0"/>
                <w:iCs w:val="0"/>
                <w:caps w:val="0"/>
                <w:color w:val="auto"/>
                <w:spacing w:val="0"/>
                <w:kern w:val="0"/>
                <w:sz w:val="21"/>
                <w:szCs w:val="21"/>
                <w:highlight w:val="none"/>
                <w:shd w:val="clear" w:fill="auto"/>
                <w:lang w:bidi="ar"/>
              </w:rPr>
              <w:t>打造乡村创客基地、共享办公院落，吸引文创、设计、数字类青年人才入驻，形成城乡创新协作网络。</w:t>
            </w:r>
          </w:p>
          <w:p w14:paraId="61C18AD0">
            <w:pPr>
              <w:pStyle w:val="19"/>
              <w:spacing w:line="360" w:lineRule="auto"/>
              <w:ind w:firstLine="0"/>
              <w:rPr>
                <w:rFonts w:hint="default" w:ascii="Times New Roman"/>
                <w:b w:val="0"/>
                <w:bCs w:val="0"/>
                <w:color w:val="auto"/>
                <w:sz w:val="21"/>
                <w:szCs w:val="21"/>
                <w:highlight w:val="none"/>
                <w:lang w:val="en-US" w:eastAsia="zh-CN" w:bidi="ar"/>
              </w:rPr>
            </w:pPr>
            <w:r>
              <w:rPr>
                <w:rFonts w:hint="eastAsia" w:ascii="Times New Roman" w:cs="宋体"/>
                <w:b/>
                <w:bCs/>
                <w:i w:val="0"/>
                <w:iCs w:val="0"/>
                <w:caps w:val="0"/>
                <w:color w:val="auto"/>
                <w:spacing w:val="0"/>
                <w:sz w:val="21"/>
                <w:szCs w:val="21"/>
                <w:highlight w:val="none"/>
                <w:shd w:val="clear"/>
                <w:lang w:eastAsia="zh-CN" w:bidi="ar"/>
              </w:rPr>
              <w:t>“</w:t>
            </w:r>
            <w:r>
              <w:rPr>
                <w:rFonts w:hint="eastAsia" w:ascii="Times New Roman" w:hAnsi="宋体" w:eastAsia="仿宋" w:cs="宋体"/>
                <w:b/>
                <w:bCs/>
                <w:i w:val="0"/>
                <w:iCs w:val="0"/>
                <w:caps w:val="0"/>
                <w:color w:val="auto"/>
                <w:spacing w:val="0"/>
                <w:sz w:val="21"/>
                <w:szCs w:val="21"/>
                <w:highlight w:val="none"/>
                <w:shd w:val="clear"/>
                <w:lang w:bidi="ar"/>
              </w:rPr>
              <w:t>居</w:t>
            </w:r>
            <w:r>
              <w:rPr>
                <w:rFonts w:hint="eastAsia" w:ascii="Times New Roman" w:cs="宋体"/>
                <w:b/>
                <w:bCs/>
                <w:i w:val="0"/>
                <w:iCs w:val="0"/>
                <w:caps w:val="0"/>
                <w:color w:val="auto"/>
                <w:spacing w:val="0"/>
                <w:sz w:val="21"/>
                <w:szCs w:val="21"/>
                <w:highlight w:val="none"/>
                <w:shd w:val="clear"/>
                <w:lang w:eastAsia="zh-CN" w:bidi="ar"/>
              </w:rPr>
              <w:t>”</w:t>
            </w:r>
            <w:r>
              <w:rPr>
                <w:rStyle w:val="16"/>
                <w:rFonts w:hint="eastAsia" w:ascii="Times New Roman" w:hAnsi="宋体" w:eastAsia="仿宋" w:cs="宋体"/>
                <w:b/>
                <w:bCs/>
                <w:i w:val="0"/>
                <w:iCs w:val="0"/>
                <w:caps w:val="0"/>
                <w:color w:val="auto"/>
                <w:spacing w:val="0"/>
                <w:sz w:val="21"/>
                <w:szCs w:val="21"/>
                <w:highlight w:val="none"/>
                <w:shd w:val="clear" w:fill="auto"/>
                <w:lang w:bidi="ar"/>
              </w:rPr>
              <w:t>：</w:t>
            </w:r>
            <w:r>
              <w:rPr>
                <w:rStyle w:val="16"/>
                <w:rFonts w:hint="eastAsia" w:ascii="Times New Roman" w:cs="宋体"/>
                <w:b/>
                <w:bCs/>
                <w:i w:val="0"/>
                <w:iCs w:val="0"/>
                <w:caps w:val="0"/>
                <w:color w:val="auto"/>
                <w:spacing w:val="0"/>
                <w:sz w:val="21"/>
                <w:szCs w:val="21"/>
                <w:highlight w:val="none"/>
                <w:shd w:val="clear" w:fill="auto"/>
                <w:lang w:val="en-US" w:eastAsia="zh-CN" w:bidi="ar"/>
              </w:rPr>
              <w:t>突出</w:t>
            </w:r>
            <w:r>
              <w:rPr>
                <w:rStyle w:val="16"/>
                <w:rFonts w:hint="eastAsia" w:ascii="Times New Roman" w:hAnsi="宋体" w:eastAsia="仿宋" w:cs="宋体"/>
                <w:b/>
                <w:bCs/>
                <w:i w:val="0"/>
                <w:iCs w:val="0"/>
                <w:caps w:val="0"/>
                <w:color w:val="auto"/>
                <w:spacing w:val="0"/>
                <w:sz w:val="21"/>
                <w:szCs w:val="21"/>
                <w:highlight w:val="none"/>
                <w:shd w:val="clear" w:fill="auto"/>
                <w:lang w:bidi="ar"/>
              </w:rPr>
              <w:t>品质乡居+城市赋能</w:t>
            </w:r>
            <w:r>
              <w:rPr>
                <w:rFonts w:hint="eastAsia" w:ascii="Times New Roman" w:cs="宋体"/>
                <w:b/>
                <w:bCs/>
                <w:i w:val="0"/>
                <w:iCs w:val="0"/>
                <w:caps w:val="0"/>
                <w:color w:val="auto"/>
                <w:spacing w:val="0"/>
                <w:sz w:val="21"/>
                <w:szCs w:val="21"/>
                <w:highlight w:val="none"/>
                <w:shd w:val="clear"/>
                <w:lang w:eastAsia="zh-CN" w:bidi="ar"/>
              </w:rPr>
              <w:t>。</w:t>
            </w:r>
            <w:r>
              <w:rPr>
                <w:rFonts w:hint="eastAsia" w:ascii="Times New Roman" w:hAnsi="宋体" w:eastAsia="仿宋" w:cs="宋体"/>
                <w:i w:val="0"/>
                <w:iCs w:val="0"/>
                <w:caps w:val="0"/>
                <w:color w:val="auto"/>
                <w:spacing w:val="0"/>
                <w:sz w:val="21"/>
                <w:szCs w:val="21"/>
                <w:highlight w:val="none"/>
                <w:shd w:val="clear" w:fill="auto"/>
                <w:lang w:bidi="ar"/>
              </w:rPr>
              <w:t>推动乡村基础设施与主城标准衔接，提升</w:t>
            </w:r>
            <w:r>
              <w:rPr>
                <w:rFonts w:hint="eastAsia" w:ascii="Times New Roman" w:cs="宋体"/>
                <w:i w:val="0"/>
                <w:iCs w:val="0"/>
                <w:caps w:val="0"/>
                <w:color w:val="auto"/>
                <w:spacing w:val="0"/>
                <w:sz w:val="21"/>
                <w:szCs w:val="21"/>
                <w:highlight w:val="none"/>
                <w:shd w:val="clear" w:fill="auto"/>
                <w:lang w:val="en-US" w:eastAsia="zh-CN" w:bidi="ar"/>
              </w:rPr>
              <w:t>乡村</w:t>
            </w:r>
            <w:r>
              <w:rPr>
                <w:rFonts w:hint="eastAsia" w:ascii="Times New Roman" w:hAnsi="宋体" w:eastAsia="仿宋" w:cs="宋体"/>
                <w:i w:val="0"/>
                <w:iCs w:val="0"/>
                <w:caps w:val="0"/>
                <w:color w:val="auto"/>
                <w:spacing w:val="0"/>
                <w:sz w:val="21"/>
                <w:szCs w:val="21"/>
                <w:highlight w:val="none"/>
                <w:shd w:val="clear" w:fill="auto"/>
                <w:lang w:bidi="ar"/>
              </w:rPr>
              <w:t>人居环境，</w:t>
            </w:r>
            <w:r>
              <w:rPr>
                <w:rFonts w:hint="eastAsia" w:ascii="Times New Roman" w:cs="宋体"/>
                <w:i w:val="0"/>
                <w:iCs w:val="0"/>
                <w:caps w:val="0"/>
                <w:color w:val="auto"/>
                <w:spacing w:val="0"/>
                <w:sz w:val="21"/>
                <w:szCs w:val="21"/>
                <w:highlight w:val="none"/>
                <w:shd w:val="clear" w:fill="auto"/>
                <w:lang w:val="en-US" w:eastAsia="zh-CN" w:bidi="ar"/>
              </w:rPr>
              <w:t>针对主城区多元化、多层次的养老需求，</w:t>
            </w:r>
            <w:r>
              <w:rPr>
                <w:rFonts w:hint="eastAsia" w:ascii="Times New Roman" w:hAnsi="宋体" w:eastAsia="仿宋" w:cs="宋体"/>
                <w:i w:val="0"/>
                <w:iCs w:val="0"/>
                <w:caps w:val="0"/>
                <w:color w:val="auto"/>
                <w:spacing w:val="0"/>
                <w:sz w:val="21"/>
                <w:szCs w:val="21"/>
                <w:highlight w:val="none"/>
                <w:shd w:val="clear" w:fill="auto"/>
                <w:lang w:bidi="ar"/>
              </w:rPr>
              <w:t>发展养老康养、乡村社区等服务业态，吸引城市居民下乡旅居、创业定居。</w:t>
            </w:r>
          </w:p>
        </w:tc>
      </w:tr>
    </w:tbl>
    <w:p w14:paraId="6115B04A">
      <w:pPr>
        <w:rPr>
          <w:rFonts w:hint="eastAsia"/>
          <w:color w:val="FF0000"/>
          <w:lang w:val="en-US" w:eastAsia="zh-CN"/>
        </w:rPr>
      </w:pPr>
      <w:r>
        <w:rPr>
          <w:rFonts w:hint="eastAsia"/>
          <w:color w:val="FF0000"/>
          <w:lang w:val="en-US" w:eastAsia="zh-CN"/>
        </w:rPr>
        <w:br w:type="page"/>
      </w:r>
    </w:p>
    <w:p w14:paraId="74B38216">
      <w:pPr>
        <w:pStyle w:val="3"/>
        <w:bidi w:val="0"/>
        <w:rPr>
          <w:rFonts w:hint="eastAsia"/>
          <w:color w:val="auto"/>
        </w:rPr>
      </w:pPr>
      <w:bookmarkStart w:id="62" w:name="_Toc20515"/>
      <w:bookmarkStart w:id="63" w:name="_Toc21386"/>
      <w:bookmarkStart w:id="64" w:name="_Toc3146"/>
      <w:bookmarkStart w:id="65" w:name="_Toc20593"/>
      <w:r>
        <w:rPr>
          <w:rFonts w:hint="eastAsia"/>
          <w:color w:val="auto"/>
          <w:lang w:val="en-US" w:eastAsia="zh-CN"/>
        </w:rPr>
        <w:t xml:space="preserve">第四章 </w:t>
      </w:r>
      <w:r>
        <w:rPr>
          <w:rFonts w:hint="eastAsia"/>
          <w:color w:val="auto"/>
        </w:rPr>
        <w:t>全面</w:t>
      </w:r>
      <w:r>
        <w:rPr>
          <w:rFonts w:hint="eastAsia"/>
          <w:color w:val="auto"/>
          <w:lang w:val="en-US" w:eastAsia="zh-CN"/>
        </w:rPr>
        <w:t>开展宜居宜业和美乡村</w:t>
      </w:r>
      <w:r>
        <w:rPr>
          <w:rFonts w:hint="eastAsia"/>
          <w:color w:val="auto"/>
        </w:rPr>
        <w:t>建设</w:t>
      </w:r>
      <w:bookmarkEnd w:id="62"/>
      <w:bookmarkEnd w:id="63"/>
      <w:bookmarkEnd w:id="64"/>
      <w:bookmarkEnd w:id="65"/>
    </w:p>
    <w:p w14:paraId="62DB887E">
      <w:pPr>
        <w:pStyle w:val="4"/>
        <w:bidi w:val="0"/>
        <w:rPr>
          <w:rFonts w:hint="eastAsia"/>
          <w:lang w:val="en-US" w:eastAsia="zh-CN"/>
        </w:rPr>
      </w:pPr>
      <w:bookmarkStart w:id="66" w:name="_Toc28754"/>
      <w:bookmarkStart w:id="67" w:name="_Toc20756"/>
      <w:bookmarkStart w:id="68" w:name="_Toc27451"/>
      <w:bookmarkStart w:id="69" w:name="_Toc14889"/>
      <w:bookmarkStart w:id="70" w:name="_Toc18238"/>
      <w:bookmarkStart w:id="71" w:name="_Toc7327"/>
      <w:bookmarkStart w:id="72" w:name="_Toc25814"/>
      <w:bookmarkStart w:id="73" w:name="_Toc30629"/>
      <w:bookmarkStart w:id="74" w:name="_Toc8740"/>
      <w:r>
        <w:rPr>
          <w:rFonts w:hint="eastAsia"/>
          <w:lang w:val="en-US" w:eastAsia="zh-CN"/>
        </w:rPr>
        <w:t>第一节 持续提升乡村建设水平</w:t>
      </w:r>
      <w:bookmarkEnd w:id="66"/>
    </w:p>
    <w:p w14:paraId="5019A5CD">
      <w:pPr>
        <w:bidi w:val="0"/>
        <w:rPr>
          <w:rFonts w:hint="eastAsia"/>
          <w:b w:val="0"/>
          <w:bCs w:val="0"/>
          <w:lang w:val="en-US" w:eastAsia="zh-CN"/>
        </w:rPr>
      </w:pPr>
      <w:r>
        <w:rPr>
          <w:rFonts w:hint="eastAsia"/>
          <w:b/>
          <w:bCs/>
          <w:color w:val="auto"/>
          <w:lang w:val="en-US" w:eastAsia="zh-CN"/>
        </w:rPr>
        <w:t>推进宜居宜业和美乡村建设。</w:t>
      </w:r>
      <w:r>
        <w:rPr>
          <w:rFonts w:hint="eastAsia"/>
          <w:b w:val="0"/>
          <w:bCs w:val="0"/>
          <w:lang w:val="en-US" w:eastAsia="zh-CN"/>
        </w:rPr>
        <w:t>以城北生态经济带建设为抓手，积极整合资源、创新模式，支持城东街道唐甸、丁冯等村庄，城西街道麒麟、朱庄等村庄及华港镇溪东、溪西等村庄，探索开展镇村小组团建设，推进基础设施互联互通、公共配套共建共享、特色产业协同发展，梯次开展宜居宜业和美乡村片区建设。统筹生产生活生态空间布局，坚持传统村落保护、传承和活化利用“齐步走”，结合里下河水乡特色风貌，改造建设具有现代功能结构、泰式民居风貌协调、乡村环境适宜的新农房，彰显“水韵海陵・乡愁记忆”品牌效应。到2030年，建成宜居宜业和美乡村15个。</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E4B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B6A61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cs="仿宋"/>
                <w:b/>
                <w:bCs/>
                <w:sz w:val="21"/>
                <w:szCs w:val="21"/>
                <w:lang w:val="en-US" w:eastAsia="zh-CN"/>
              </w:rPr>
            </w:pPr>
            <w:r>
              <w:rPr>
                <w:rFonts w:hint="eastAsia" w:ascii="仿宋" w:hAnsi="仿宋" w:eastAsia="仿宋" w:cs="仿宋"/>
                <w:b/>
                <w:bCs/>
                <w:color w:val="auto"/>
                <w:sz w:val="21"/>
                <w:szCs w:val="21"/>
                <w:highlight w:val="none"/>
                <w:lang w:val="en-US" w:eastAsia="zh-CN"/>
              </w:rPr>
              <w:t>专栏</w:t>
            </w:r>
            <w:r>
              <w:rPr>
                <w:rFonts w:hint="eastAsia" w:ascii="仿宋" w:hAnsi="仿宋" w:cs="仿宋"/>
                <w:b/>
                <w:bCs/>
                <w:color w:val="auto"/>
                <w:sz w:val="21"/>
                <w:szCs w:val="21"/>
                <w:highlight w:val="none"/>
                <w:lang w:val="en-US" w:eastAsia="zh-CN"/>
              </w:rPr>
              <w:t>八：推进宜居宜业和美乡村建设</w:t>
            </w:r>
          </w:p>
          <w:p w14:paraId="28B55777">
            <w:pPr>
              <w:keepNext w:val="0"/>
              <w:keepLines w:val="0"/>
              <w:pageBreakBefore w:val="0"/>
              <w:widowControl w:val="0"/>
              <w:kinsoku/>
              <w:wordWrap/>
              <w:overflowPunct/>
              <w:topLinePunct w:val="0"/>
              <w:autoSpaceDE/>
              <w:autoSpaceDN/>
              <w:bidi w:val="0"/>
              <w:adjustRightInd/>
              <w:snapToGrid/>
              <w:textAlignment w:val="auto"/>
              <w:rPr>
                <w:rFonts w:hint="eastAsia"/>
                <w:sz w:val="21"/>
                <w:szCs w:val="21"/>
                <w:lang w:val="en-US" w:eastAsia="zh-CN"/>
              </w:rPr>
            </w:pPr>
            <w:r>
              <w:rPr>
                <w:rFonts w:hint="eastAsia"/>
                <w:sz w:val="21"/>
                <w:szCs w:val="21"/>
              </w:rPr>
              <w:t>依托海陵“近城临水、田园交织、产业多元”的独特禀赋，打造以“都市农业为基、水乡生态为韵、城乡融合为径”的宜居宜业和美乡村示范区，</w:t>
            </w:r>
            <w:r>
              <w:rPr>
                <w:rFonts w:hint="eastAsia"/>
                <w:sz w:val="21"/>
                <w:szCs w:val="21"/>
                <w:lang w:val="en-US" w:eastAsia="zh-CN"/>
              </w:rPr>
              <w:t>彰显“水韵海陵・乡愁记忆”品牌效应。</w:t>
            </w:r>
          </w:p>
          <w:p w14:paraId="4D98F57E">
            <w:pPr>
              <w:keepNext w:val="0"/>
              <w:keepLines w:val="0"/>
              <w:pageBreakBefore w:val="0"/>
              <w:widowControl w:val="0"/>
              <w:kinsoku/>
              <w:wordWrap/>
              <w:overflowPunct/>
              <w:topLinePunct w:val="0"/>
              <w:autoSpaceDE/>
              <w:autoSpaceDN/>
              <w:bidi w:val="0"/>
              <w:adjustRightInd/>
              <w:snapToGrid/>
              <w:textAlignment w:val="auto"/>
              <w:rPr>
                <w:rFonts w:hint="eastAsia"/>
                <w:b/>
                <w:bCs/>
                <w:sz w:val="21"/>
                <w:szCs w:val="21"/>
              </w:rPr>
            </w:pPr>
            <w:r>
              <w:rPr>
                <w:rFonts w:hint="eastAsia"/>
                <w:b/>
                <w:bCs/>
                <w:sz w:val="21"/>
                <w:szCs w:val="21"/>
                <w:lang w:val="en-US" w:eastAsia="zh-CN"/>
              </w:rPr>
              <w:t>一、和美乡村建设发展思路</w:t>
            </w:r>
          </w:p>
          <w:p w14:paraId="7E13008A">
            <w:pPr>
              <w:keepNext w:val="0"/>
              <w:keepLines w:val="0"/>
              <w:pageBreakBefore w:val="0"/>
              <w:widowControl w:val="0"/>
              <w:kinsoku/>
              <w:wordWrap/>
              <w:overflowPunct/>
              <w:topLinePunct w:val="0"/>
              <w:autoSpaceDE/>
              <w:autoSpaceDN/>
              <w:bidi w:val="0"/>
              <w:adjustRightInd/>
              <w:snapToGrid/>
              <w:textAlignment w:val="auto"/>
              <w:rPr>
                <w:rFonts w:hint="eastAsia"/>
                <w:sz w:val="21"/>
                <w:szCs w:val="21"/>
                <w:lang w:val="en-US" w:eastAsia="zh-CN"/>
              </w:rPr>
            </w:pPr>
            <w:r>
              <w:rPr>
                <w:rFonts w:hint="eastAsia"/>
                <w:b/>
                <w:bCs/>
                <w:sz w:val="21"/>
                <w:szCs w:val="21"/>
              </w:rPr>
              <w:t>深化城乡功能互补，构建一体协同发展格局。</w:t>
            </w:r>
            <w:r>
              <w:rPr>
                <w:rFonts w:hint="eastAsia"/>
                <w:sz w:val="21"/>
                <w:szCs w:val="21"/>
              </w:rPr>
              <w:t>紧扣海陵主城区核心定位，</w:t>
            </w:r>
            <w:r>
              <w:rPr>
                <w:rFonts w:hint="eastAsia"/>
                <w:sz w:val="21"/>
                <w:szCs w:val="21"/>
                <w:lang w:val="en-US" w:eastAsia="zh-CN"/>
              </w:rPr>
              <w:t>主动承接城市消费和产业外溢，</w:t>
            </w:r>
            <w:r>
              <w:rPr>
                <w:rFonts w:hint="eastAsia"/>
                <w:sz w:val="21"/>
                <w:szCs w:val="21"/>
                <w:lang w:eastAsia="zh-CN"/>
              </w:rPr>
              <w:t>发展服务</w:t>
            </w:r>
            <w:r>
              <w:rPr>
                <w:rFonts w:hint="eastAsia"/>
                <w:sz w:val="21"/>
                <w:szCs w:val="21"/>
                <w:lang w:val="en-US" w:eastAsia="zh-CN"/>
              </w:rPr>
              <w:t>主城</w:t>
            </w:r>
            <w:r>
              <w:rPr>
                <w:rFonts w:hint="eastAsia"/>
                <w:sz w:val="21"/>
                <w:szCs w:val="21"/>
                <w:lang w:eastAsia="zh-CN"/>
              </w:rPr>
              <w:t>的休闲农业、康养旅居、科创文创等</w:t>
            </w:r>
            <w:r>
              <w:rPr>
                <w:rFonts w:hint="eastAsia"/>
                <w:sz w:val="21"/>
                <w:szCs w:val="21"/>
                <w:lang w:val="en-US" w:eastAsia="zh-CN"/>
              </w:rPr>
              <w:t>业态，形成“城市品质服务、乡村生态栖居”的互补模式</w:t>
            </w:r>
            <w:r>
              <w:rPr>
                <w:rFonts w:hint="eastAsia"/>
                <w:sz w:val="21"/>
                <w:szCs w:val="21"/>
                <w:lang w:eastAsia="zh-CN"/>
              </w:rPr>
              <w:t>；</w:t>
            </w:r>
            <w:r>
              <w:rPr>
                <w:rFonts w:hint="eastAsia"/>
                <w:sz w:val="21"/>
                <w:szCs w:val="21"/>
              </w:rPr>
              <w:t>推动城乡道路、供水供电、污水治理、通信网络等基础设施</w:t>
            </w:r>
            <w:r>
              <w:rPr>
                <w:rFonts w:hint="eastAsia"/>
                <w:sz w:val="21"/>
                <w:szCs w:val="21"/>
                <w:lang w:val="en-US" w:eastAsia="zh-CN"/>
              </w:rPr>
              <w:t>对标主城标准</w:t>
            </w:r>
            <w:r>
              <w:rPr>
                <w:rFonts w:hint="eastAsia"/>
                <w:sz w:val="21"/>
                <w:szCs w:val="21"/>
              </w:rPr>
              <w:t>，</w:t>
            </w:r>
            <w:r>
              <w:rPr>
                <w:rFonts w:hint="eastAsia"/>
                <w:sz w:val="21"/>
                <w:szCs w:val="21"/>
                <w:lang w:val="en-US" w:eastAsia="zh-CN"/>
              </w:rPr>
              <w:t>推动</w:t>
            </w:r>
            <w:r>
              <w:rPr>
                <w:rFonts w:hint="eastAsia"/>
                <w:sz w:val="21"/>
                <w:szCs w:val="21"/>
              </w:rPr>
              <w:t>城市教育、医疗、养老、文化等优质资源向乡村延伸，</w:t>
            </w:r>
            <w:r>
              <w:rPr>
                <w:rFonts w:hint="eastAsia"/>
                <w:sz w:val="21"/>
                <w:szCs w:val="21"/>
                <w:lang w:val="en-US" w:eastAsia="zh-CN"/>
              </w:rPr>
              <w:t>补齐乡村公共服务短板，让村民在家门口享受主城品质服务。</w:t>
            </w:r>
          </w:p>
          <w:p w14:paraId="2E938619">
            <w:pPr>
              <w:keepNext w:val="0"/>
              <w:keepLines w:val="0"/>
              <w:pageBreakBefore w:val="0"/>
              <w:widowControl w:val="0"/>
              <w:kinsoku/>
              <w:wordWrap/>
              <w:overflowPunct/>
              <w:topLinePunct w:val="0"/>
              <w:autoSpaceDE/>
              <w:autoSpaceDN/>
              <w:bidi w:val="0"/>
              <w:adjustRightInd/>
              <w:snapToGrid/>
              <w:textAlignment w:val="auto"/>
              <w:rPr>
                <w:rFonts w:hint="eastAsia" w:eastAsia="仿宋"/>
                <w:sz w:val="21"/>
                <w:szCs w:val="21"/>
                <w:lang w:eastAsia="zh-CN"/>
              </w:rPr>
            </w:pPr>
            <w:r>
              <w:rPr>
                <w:rFonts w:hint="eastAsia"/>
                <w:b/>
                <w:bCs/>
                <w:sz w:val="21"/>
                <w:szCs w:val="21"/>
              </w:rPr>
              <w:t>强化水系田园联动，塑造水韵和美生态风貌。</w:t>
            </w:r>
            <w:r>
              <w:rPr>
                <w:rFonts w:hint="eastAsia"/>
                <w:sz w:val="21"/>
                <w:szCs w:val="21"/>
              </w:rPr>
              <w:t>以古盐运河、龙溪港、泰东河等水系为脉络，推进退圩还湖、河道清淤、岸线整治、幸福河湖建设</w:t>
            </w:r>
            <w:r>
              <w:rPr>
                <w:rFonts w:hint="eastAsia"/>
                <w:sz w:val="21"/>
                <w:szCs w:val="21"/>
                <w:lang w:eastAsia="zh-CN"/>
              </w:rPr>
              <w:t>；</w:t>
            </w:r>
            <w:r>
              <w:rPr>
                <w:rFonts w:hint="eastAsia"/>
                <w:sz w:val="21"/>
                <w:szCs w:val="21"/>
              </w:rPr>
              <w:t>整合连片农田、林地、湿地资源，打造规模化、景观化田园风光带，保留乡村原生肌理，优化农房风貌、庭院绿化、村口景观</w:t>
            </w:r>
            <w:r>
              <w:rPr>
                <w:rFonts w:hint="eastAsia"/>
                <w:sz w:val="21"/>
                <w:szCs w:val="21"/>
                <w:lang w:eastAsia="zh-CN"/>
              </w:rPr>
              <w:t>；</w:t>
            </w:r>
            <w:r>
              <w:rPr>
                <w:rFonts w:hint="eastAsia"/>
                <w:sz w:val="21"/>
                <w:szCs w:val="21"/>
              </w:rPr>
              <w:t>将水系田园生态优势转化为宜居优势，打造滨水步道、田园绿道、休闲广场等公共空间，推动生态景观与村民生活、休闲游憩深度融合</w:t>
            </w:r>
            <w:r>
              <w:rPr>
                <w:rFonts w:hint="eastAsia"/>
                <w:sz w:val="21"/>
                <w:szCs w:val="21"/>
                <w:lang w:eastAsia="zh-CN"/>
              </w:rPr>
              <w:t>。</w:t>
            </w:r>
          </w:p>
          <w:p w14:paraId="3113B84B">
            <w:pPr>
              <w:keepNext w:val="0"/>
              <w:keepLines w:val="0"/>
              <w:pageBreakBefore w:val="0"/>
              <w:widowControl w:val="0"/>
              <w:kinsoku/>
              <w:wordWrap/>
              <w:overflowPunct/>
              <w:topLinePunct w:val="0"/>
              <w:autoSpaceDE/>
              <w:autoSpaceDN/>
              <w:bidi w:val="0"/>
              <w:adjustRightInd/>
              <w:snapToGrid/>
              <w:textAlignment w:val="auto"/>
              <w:rPr>
                <w:rFonts w:hint="eastAsia" w:eastAsia="仿宋"/>
                <w:sz w:val="21"/>
                <w:szCs w:val="21"/>
                <w:lang w:eastAsia="zh-CN"/>
              </w:rPr>
            </w:pPr>
            <w:r>
              <w:rPr>
                <w:rFonts w:hint="eastAsia"/>
                <w:b/>
                <w:bCs/>
                <w:sz w:val="21"/>
                <w:szCs w:val="21"/>
                <w:lang w:val="en-US" w:eastAsia="zh-CN"/>
              </w:rPr>
              <w:t>盘活乡村闲置资源</w:t>
            </w:r>
            <w:r>
              <w:rPr>
                <w:rFonts w:hint="eastAsia"/>
                <w:b/>
                <w:bCs/>
                <w:sz w:val="21"/>
                <w:szCs w:val="21"/>
              </w:rPr>
              <w:t>，夯实宜业共富发展根基。</w:t>
            </w:r>
            <w:r>
              <w:rPr>
                <w:rFonts w:hint="eastAsia"/>
                <w:b w:val="0"/>
                <w:bCs w:val="0"/>
                <w:sz w:val="21"/>
                <w:szCs w:val="21"/>
                <w:lang w:val="en-US" w:eastAsia="zh-CN"/>
              </w:rPr>
              <w:t>盘活利用乡村闲置资源，</w:t>
            </w:r>
            <w:r>
              <w:rPr>
                <w:rFonts w:hint="eastAsia"/>
                <w:sz w:val="21"/>
                <w:szCs w:val="21"/>
                <w:lang w:eastAsia="zh-CN"/>
              </w:rPr>
              <w:t>将闲置农房、空心院落改造为乡村民宿、共享庭院、文创工作室、</w:t>
            </w:r>
            <w:r>
              <w:rPr>
                <w:rFonts w:hint="eastAsia"/>
                <w:sz w:val="21"/>
                <w:szCs w:val="21"/>
                <w:lang w:val="en-US" w:eastAsia="zh-CN"/>
              </w:rPr>
              <w:t>非遗工坊</w:t>
            </w:r>
            <w:r>
              <w:rPr>
                <w:rFonts w:hint="eastAsia"/>
                <w:sz w:val="21"/>
                <w:szCs w:val="21"/>
                <w:lang w:eastAsia="zh-CN"/>
              </w:rPr>
              <w:t>等，</w:t>
            </w:r>
            <w:r>
              <w:rPr>
                <w:rFonts w:hint="eastAsia"/>
                <w:sz w:val="21"/>
                <w:szCs w:val="21"/>
                <w:lang w:val="en-US" w:eastAsia="zh-CN"/>
              </w:rPr>
              <w:t>支持民宿经济、户外露营、宠物经济、婚纱摄影等乡村新型服务业发展；支持</w:t>
            </w:r>
            <w:r>
              <w:rPr>
                <w:rFonts w:hint="eastAsia"/>
                <w:sz w:val="21"/>
                <w:szCs w:val="21"/>
                <w:lang w:eastAsia="zh-CN"/>
              </w:rPr>
              <w:t>搭建</w:t>
            </w:r>
            <w:r>
              <w:rPr>
                <w:rFonts w:hint="eastAsia"/>
                <w:sz w:val="21"/>
                <w:szCs w:val="21"/>
                <w:lang w:val="en-US" w:eastAsia="zh-CN"/>
              </w:rPr>
              <w:t>乡创空间、</w:t>
            </w:r>
            <w:r>
              <w:rPr>
                <w:rFonts w:hint="eastAsia"/>
                <w:sz w:val="21"/>
                <w:szCs w:val="21"/>
                <w:lang w:eastAsia="zh-CN"/>
              </w:rPr>
              <w:t>农产品直播基地、短视频创作基地</w:t>
            </w:r>
            <w:r>
              <w:rPr>
                <w:rFonts w:hint="eastAsia"/>
                <w:sz w:val="21"/>
                <w:szCs w:val="21"/>
                <w:lang w:val="en-US" w:eastAsia="zh-CN"/>
              </w:rPr>
              <w:t>等</w:t>
            </w:r>
            <w:r>
              <w:rPr>
                <w:rFonts w:hint="eastAsia"/>
                <w:sz w:val="21"/>
                <w:szCs w:val="21"/>
                <w:lang w:eastAsia="zh-CN"/>
              </w:rPr>
              <w:t>，</w:t>
            </w:r>
            <w:r>
              <w:rPr>
                <w:rFonts w:hint="eastAsia"/>
                <w:sz w:val="21"/>
                <w:szCs w:val="21"/>
                <w:lang w:val="en-US" w:eastAsia="zh-CN"/>
              </w:rPr>
              <w:t>激发乡村创新创业活力</w:t>
            </w:r>
            <w:r>
              <w:rPr>
                <w:rFonts w:hint="eastAsia"/>
                <w:sz w:val="21"/>
                <w:szCs w:val="21"/>
                <w:lang w:eastAsia="zh-CN"/>
              </w:rPr>
              <w:t>；深挖农耕文化、生态景观等资源潜力，</w:t>
            </w:r>
            <w:r>
              <w:rPr>
                <w:rFonts w:hint="eastAsia"/>
                <w:sz w:val="21"/>
                <w:szCs w:val="21"/>
                <w:lang w:val="en-US" w:eastAsia="zh-CN"/>
              </w:rPr>
              <w:t>拓展</w:t>
            </w:r>
            <w:r>
              <w:rPr>
                <w:rFonts w:hint="eastAsia"/>
                <w:sz w:val="21"/>
                <w:szCs w:val="21"/>
                <w:lang w:eastAsia="zh-CN"/>
              </w:rPr>
              <w:t>田园采摘、亲子研学、农耕体验、乡村露营、滨水休闲</w:t>
            </w:r>
            <w:r>
              <w:rPr>
                <w:rFonts w:hint="eastAsia"/>
                <w:sz w:val="21"/>
                <w:szCs w:val="21"/>
                <w:lang w:val="en-US" w:eastAsia="zh-CN"/>
              </w:rPr>
              <w:t>等多元</w:t>
            </w:r>
            <w:r>
              <w:rPr>
                <w:rFonts w:hint="eastAsia"/>
                <w:sz w:val="21"/>
                <w:szCs w:val="21"/>
                <w:lang w:eastAsia="zh-CN"/>
              </w:rPr>
              <w:t>场景，推动生态资源与休闲产业深度融合。</w:t>
            </w:r>
          </w:p>
          <w:p w14:paraId="320D167C">
            <w:pPr>
              <w:keepNext w:val="0"/>
              <w:keepLines w:val="0"/>
              <w:pageBreakBefore w:val="0"/>
              <w:widowControl w:val="0"/>
              <w:kinsoku/>
              <w:wordWrap/>
              <w:overflowPunct/>
              <w:topLinePunct w:val="0"/>
              <w:autoSpaceDE/>
              <w:autoSpaceDN/>
              <w:bidi w:val="0"/>
              <w:adjustRightInd/>
              <w:snapToGrid/>
              <w:textAlignment w:val="auto"/>
              <w:rPr>
                <w:rFonts w:hint="eastAsia" w:eastAsia="仿宋"/>
                <w:b/>
                <w:bCs/>
                <w:sz w:val="21"/>
                <w:szCs w:val="21"/>
                <w:lang w:eastAsia="zh-CN"/>
              </w:rPr>
            </w:pPr>
            <w:r>
              <w:rPr>
                <w:rFonts w:hint="eastAsia"/>
                <w:b/>
                <w:bCs/>
                <w:sz w:val="21"/>
                <w:szCs w:val="21"/>
                <w:lang w:val="en-US" w:eastAsia="zh-CN"/>
              </w:rPr>
              <w:t>二、重点村庄运营思路</w:t>
            </w:r>
          </w:p>
          <w:p w14:paraId="7C0D270F">
            <w:pPr>
              <w:keepNext w:val="0"/>
              <w:keepLines w:val="0"/>
              <w:pageBreakBefore w:val="0"/>
              <w:widowControl w:val="0"/>
              <w:kinsoku/>
              <w:wordWrap/>
              <w:overflowPunct/>
              <w:topLinePunct w:val="0"/>
              <w:autoSpaceDE/>
              <w:autoSpaceDN/>
              <w:bidi w:val="0"/>
              <w:adjustRightInd/>
              <w:snapToGrid/>
              <w:textAlignment w:val="auto"/>
              <w:rPr>
                <w:rFonts w:hint="eastAsia"/>
                <w:sz w:val="21"/>
                <w:szCs w:val="21"/>
              </w:rPr>
            </w:pPr>
            <w:r>
              <w:rPr>
                <w:rFonts w:hint="eastAsia"/>
                <w:sz w:val="21"/>
                <w:szCs w:val="21"/>
                <w:lang w:val="en-US" w:eastAsia="zh-CN"/>
              </w:rPr>
              <w:t>坚持策划先行，</w:t>
            </w:r>
            <w:r>
              <w:rPr>
                <w:rFonts w:hint="eastAsia"/>
                <w:sz w:val="21"/>
                <w:szCs w:val="21"/>
              </w:rPr>
              <w:t>引入专业</w:t>
            </w:r>
            <w:r>
              <w:rPr>
                <w:rFonts w:hint="eastAsia"/>
                <w:sz w:val="21"/>
                <w:szCs w:val="21"/>
                <w:lang w:val="en-US" w:eastAsia="zh-CN"/>
              </w:rPr>
              <w:t>化</w:t>
            </w:r>
            <w:r>
              <w:rPr>
                <w:rFonts w:hint="eastAsia"/>
                <w:sz w:val="21"/>
                <w:szCs w:val="21"/>
              </w:rPr>
              <w:t>乡村运营团队，采用“EPC+O”（设计施工运营一体化）模式，以运营前置倒推规划设计，以设计施工一体化保障建设效果</w:t>
            </w:r>
            <w:r>
              <w:rPr>
                <w:rFonts w:hint="eastAsia"/>
                <w:sz w:val="21"/>
                <w:szCs w:val="21"/>
                <w:lang w:val="en-US" w:eastAsia="zh-CN"/>
              </w:rPr>
              <w:t>，</w:t>
            </w:r>
            <w:r>
              <w:rPr>
                <w:rFonts w:hint="eastAsia"/>
                <w:sz w:val="21"/>
                <w:szCs w:val="21"/>
                <w:lang w:eastAsia="zh-CN"/>
              </w:rPr>
              <w:t>实现</w:t>
            </w:r>
            <w:r>
              <w:rPr>
                <w:rFonts w:hint="eastAsia"/>
                <w:sz w:val="21"/>
                <w:szCs w:val="21"/>
                <w:lang w:val="en-US" w:eastAsia="zh-CN"/>
              </w:rPr>
              <w:t>和美乡村</w:t>
            </w:r>
            <w:r>
              <w:rPr>
                <w:rFonts w:hint="eastAsia"/>
                <w:sz w:val="21"/>
                <w:szCs w:val="21"/>
                <w:lang w:eastAsia="zh-CN"/>
              </w:rPr>
              <w:t>建设可持续发展</w:t>
            </w:r>
            <w:r>
              <w:rPr>
                <w:rFonts w:hint="eastAsia"/>
                <w:sz w:val="21"/>
                <w:szCs w:val="21"/>
              </w:rPr>
              <w:t>。</w:t>
            </w:r>
          </w:p>
          <w:p w14:paraId="0FE8F7D9">
            <w:pPr>
              <w:keepNext w:val="0"/>
              <w:keepLines w:val="0"/>
              <w:pageBreakBefore w:val="0"/>
              <w:widowControl w:val="0"/>
              <w:kinsoku/>
              <w:wordWrap/>
              <w:overflowPunct/>
              <w:topLinePunct w:val="0"/>
              <w:autoSpaceDE/>
              <w:autoSpaceDN/>
              <w:bidi w:val="0"/>
              <w:adjustRightInd/>
              <w:snapToGrid/>
              <w:textAlignment w:val="auto"/>
              <w:rPr>
                <w:rFonts w:hint="default" w:ascii="Times New Roman"/>
                <w:b w:val="0"/>
                <w:bCs w:val="0"/>
                <w:color w:val="auto"/>
                <w:sz w:val="21"/>
                <w:szCs w:val="21"/>
                <w:highlight w:val="none"/>
                <w:lang w:val="en-US" w:eastAsia="zh-CN" w:bidi="ar"/>
              </w:rPr>
            </w:pPr>
            <w:r>
              <w:rPr>
                <w:rFonts w:hint="eastAsia"/>
                <w:sz w:val="21"/>
                <w:szCs w:val="21"/>
              </w:rPr>
              <w:t>实施“新乡贤回流计划”，</w:t>
            </w:r>
            <w:r>
              <w:rPr>
                <w:rFonts w:hint="eastAsia"/>
                <w:sz w:val="21"/>
                <w:szCs w:val="21"/>
                <w:lang w:val="en-US" w:eastAsia="zh-CN"/>
              </w:rPr>
              <w:t>引进乡村规划师、景观设计师、文旅运营等行业高端人才，培育新型职业农民、乡村工匠、民宿管家等本土实用人才，</w:t>
            </w:r>
            <w:r>
              <w:rPr>
                <w:rFonts w:hint="eastAsia"/>
                <w:sz w:val="21"/>
                <w:szCs w:val="21"/>
              </w:rPr>
              <w:t>设立乡村创新创业基金，吸引青年返乡入乡</w:t>
            </w:r>
            <w:r>
              <w:rPr>
                <w:rFonts w:hint="eastAsia"/>
                <w:sz w:val="21"/>
                <w:szCs w:val="21"/>
                <w:lang w:val="en-US" w:eastAsia="zh-CN"/>
              </w:rPr>
              <w:t>参与乡村建设</w:t>
            </w:r>
            <w:r>
              <w:rPr>
                <w:rFonts w:hint="eastAsia"/>
                <w:sz w:val="21"/>
                <w:szCs w:val="21"/>
              </w:rPr>
              <w:t>。</w:t>
            </w:r>
          </w:p>
        </w:tc>
      </w:tr>
    </w:tbl>
    <w:p w14:paraId="28224C80">
      <w:pPr>
        <w:bidi w:val="0"/>
        <w:rPr>
          <w:rFonts w:hint="default"/>
          <w:b w:val="0"/>
          <w:bCs w:val="0"/>
          <w:lang w:val="en-US" w:eastAsia="zh-CN"/>
        </w:rPr>
      </w:pPr>
      <w:r>
        <w:rPr>
          <w:rFonts w:hint="eastAsia"/>
          <w:b/>
          <w:bCs/>
          <w:color w:val="auto"/>
          <w:lang w:val="en-US" w:eastAsia="zh-CN"/>
        </w:rPr>
        <w:t>基础设施提档突出城乡均等</w:t>
      </w:r>
      <w:r>
        <w:rPr>
          <w:rFonts w:hint="eastAsia"/>
          <w:b/>
          <w:bCs/>
          <w:color w:val="auto"/>
          <w:lang w:eastAsia="zh-CN"/>
        </w:rPr>
        <w:t>。</w:t>
      </w:r>
      <w:r>
        <w:rPr>
          <w:rFonts w:hint="eastAsia"/>
          <w:b w:val="0"/>
          <w:bCs w:val="0"/>
          <w:lang w:val="en-US" w:eastAsia="zh-CN"/>
        </w:rPr>
        <w:t>推动农村电网、道路硬化、仓储物流、网络通信等基础设施建设提档升级，逐步建立全域覆盖、普惠共享、城乡一体的基础设施服务网络。加快推进中心城区供水、供热、燃气管网向村到户延伸，打通城乡融合的“毛细血管”，将供水、供热、燃气等城市优质公共服务覆盖到近郊乡镇。持续推动“四好农村路”高质量发展，强化农村公路与干线公路、城市道路、村内道路的衔接，实现规划发展村庄通双车道四级公路全覆盖。引导供销合作社、邮政快递、电商平台等利用主城区商贸流通优势，推动冷链配送和即时零售向乡镇延伸。建立健全城乡基础设施一体化管护模式，推动设施建设与管护机制同步落实。</w:t>
      </w:r>
    </w:p>
    <w:p w14:paraId="57CE5736">
      <w:pPr>
        <w:bidi w:val="0"/>
        <w:rPr>
          <w:rFonts w:hint="eastAsia"/>
        </w:rPr>
      </w:pPr>
      <w:r>
        <w:rPr>
          <w:rFonts w:hint="eastAsia"/>
          <w:b/>
          <w:bCs/>
          <w:color w:val="auto"/>
          <w:highlight w:val="none"/>
        </w:rPr>
        <w:t>深化农村人居环境整治提升</w:t>
      </w:r>
      <w:r>
        <w:rPr>
          <w:rFonts w:hint="eastAsia"/>
          <w:b/>
          <w:bCs/>
          <w:color w:val="auto"/>
          <w:highlight w:val="none"/>
          <w:lang w:eastAsia="zh-CN"/>
        </w:rPr>
        <w:t>。</w:t>
      </w:r>
      <w:r>
        <w:rPr>
          <w:rFonts w:hint="eastAsia"/>
          <w:lang w:eastAsia="zh-CN"/>
        </w:rPr>
        <w:t>深入开展以村庄垃圾专项治理、“三乱”整治为重点的常态化村庄清洁行动。</w:t>
      </w:r>
      <w:r>
        <w:rPr>
          <w:rFonts w:hint="eastAsia"/>
          <w:lang w:val="en-US" w:eastAsia="zh-CN"/>
        </w:rPr>
        <w:t>扎实</w:t>
      </w:r>
      <w:r>
        <w:rPr>
          <w:rFonts w:hint="eastAsia"/>
        </w:rPr>
        <w:t>推进农村“厕所革命”，加强厕所粪污无害化处理及资源化利用，</w:t>
      </w:r>
      <w:r>
        <w:rPr>
          <w:rFonts w:hint="eastAsia"/>
          <w:lang w:val="en-US" w:eastAsia="zh-CN"/>
        </w:rPr>
        <w:t>加快实现</w:t>
      </w:r>
      <w:r>
        <w:rPr>
          <w:rFonts w:hint="eastAsia"/>
        </w:rPr>
        <w:t>厕所粪污与生活污水协同治理。</w:t>
      </w:r>
      <w:r>
        <w:rPr>
          <w:rFonts w:hint="eastAsia"/>
          <w:lang w:val="en-US" w:eastAsia="zh-CN"/>
        </w:rPr>
        <w:t>聚焦外来人口集聚村、规划发展村及乡村旅游村等需求，对标城区社区公厕标准新建或改造公厕</w:t>
      </w:r>
      <w:r>
        <w:rPr>
          <w:rFonts w:hint="eastAsia"/>
          <w:lang w:eastAsia="zh-CN"/>
        </w:rPr>
        <w:t>。</w:t>
      </w:r>
      <w:r>
        <w:rPr>
          <w:rFonts w:hint="eastAsia"/>
        </w:rPr>
        <w:t>持续推进农村生活垃圾治理，完善“组保洁、村收集、镇转运、区处理”的城乡统筹生活垃圾收运处置体系</w:t>
      </w:r>
      <w:r>
        <w:rPr>
          <w:rFonts w:hint="eastAsia"/>
          <w:lang w:eastAsia="zh-CN"/>
        </w:rPr>
        <w:t>。实施农村生活污水治理提升行动，将农村生活污水治理与村庄规划、供水设施建设、农民群众住房条件改善同步，加快推动城镇污水管网逐步向周边自然村庄延伸。</w:t>
      </w:r>
      <w:r>
        <w:rPr>
          <w:rFonts w:hint="eastAsia"/>
          <w:lang w:val="en-US" w:eastAsia="zh-CN"/>
        </w:rPr>
        <w:t>到2030年，</w:t>
      </w:r>
      <w:r>
        <w:rPr>
          <w:rFonts w:hint="eastAsia"/>
        </w:rPr>
        <w:t>农村无害化卫生户厕普及率100%</w:t>
      </w:r>
      <w:r>
        <w:rPr>
          <w:rFonts w:hint="eastAsia"/>
          <w:lang w:eastAsia="zh-CN"/>
        </w:rPr>
        <w:t>，</w:t>
      </w:r>
      <w:r>
        <w:rPr>
          <w:rFonts w:hint="eastAsia"/>
          <w:lang w:val="en-US" w:eastAsia="zh-CN"/>
        </w:rPr>
        <w:t>农村</w:t>
      </w:r>
      <w:r>
        <w:rPr>
          <w:rFonts w:hint="eastAsia"/>
        </w:rPr>
        <w:t>生活污水治理率</w:t>
      </w:r>
      <w:r>
        <w:rPr>
          <w:rFonts w:hint="eastAsia"/>
          <w:lang w:val="en-US" w:eastAsia="zh-CN"/>
        </w:rPr>
        <w:t>超过88</w:t>
      </w:r>
      <w:r>
        <w:rPr>
          <w:rFonts w:hint="eastAsia"/>
        </w:rPr>
        <w:t>%。</w:t>
      </w:r>
    </w:p>
    <w:p w14:paraId="5BD91C7D">
      <w:pPr>
        <w:widowControl/>
        <w:bidi w:val="0"/>
        <w:rPr>
          <w:rFonts w:hint="eastAsia" w:ascii="Times New Roman" w:hAnsi="Times New Roman" w:eastAsia="仿宋" w:cs="Times New Roman"/>
          <w:bCs w:val="0"/>
          <w:kern w:val="2"/>
          <w:sz w:val="32"/>
          <w:szCs w:val="22"/>
          <w:lang w:val="en-US" w:eastAsia="zh-CN" w:bidi="ar-SA"/>
        </w:rPr>
      </w:pPr>
      <w:r>
        <w:rPr>
          <w:rFonts w:hint="eastAsia"/>
          <w:b/>
          <w:bCs/>
          <w:color w:val="auto"/>
          <w:highlight w:val="none"/>
        </w:rPr>
        <w:t>加快乡村数字基础设施建设。</w:t>
      </w:r>
      <w:r>
        <w:rPr>
          <w:rFonts w:hint="eastAsia" w:ascii="Times New Roman" w:hAnsi="Times New Roman" w:eastAsia="仿宋" w:cs="Times New Roman"/>
          <w:bCs w:val="0"/>
          <w:kern w:val="2"/>
          <w:sz w:val="32"/>
          <w:szCs w:val="22"/>
          <w:lang w:val="en-US" w:eastAsia="zh-CN" w:bidi="ar-SA"/>
        </w:rPr>
        <w:t>推动城区数字资源向乡村下沉，实现城乡数字基础设施无缝衔接</w:t>
      </w:r>
      <w:r>
        <w:rPr>
          <w:rFonts w:hint="eastAsia"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有序</w:t>
      </w:r>
      <w:r>
        <w:rPr>
          <w:rFonts w:hint="eastAsia" w:cs="Times New Roman"/>
          <w:bCs w:val="0"/>
          <w:kern w:val="2"/>
          <w:sz w:val="32"/>
          <w:szCs w:val="22"/>
          <w:lang w:val="en-US" w:eastAsia="zh-CN" w:bidi="ar-SA"/>
        </w:rPr>
        <w:t>推进</w:t>
      </w:r>
      <w:r>
        <w:rPr>
          <w:rFonts w:hint="eastAsia" w:ascii="Times New Roman" w:hAnsi="Times New Roman" w:eastAsia="仿宋" w:cs="Times New Roman"/>
          <w:bCs w:val="0"/>
          <w:kern w:val="2"/>
          <w:sz w:val="32"/>
          <w:szCs w:val="22"/>
          <w:lang w:val="en-US" w:eastAsia="zh-CN" w:bidi="ar-SA"/>
        </w:rPr>
        <w:t>城区5G基站布局向乡村延伸，重点覆盖偏远村组、村级公共服务阵地，实现5G网络全域连续覆盖、光纤宽带村村通。推动城区算力中心资源向乡村延伸，在镇街建设小型化算力节点，为智慧农业、政务服务等乡村数字应用提供低成本算力支撑</w:t>
      </w:r>
      <w:r>
        <w:rPr>
          <w:rFonts w:hint="eastAsia"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在农业生产区域、水利设施等关键位置，部署物联网终端设备，构建“空天地人”一体化感知网络，实现农业生产、基础设施等数据实时采集</w:t>
      </w:r>
      <w:r>
        <w:rPr>
          <w:rFonts w:hint="eastAsia" w:cs="Times New Roman"/>
          <w:bCs w:val="0"/>
          <w:kern w:val="2"/>
          <w:sz w:val="32"/>
          <w:szCs w:val="22"/>
          <w:lang w:val="en-US" w:eastAsia="zh-CN" w:bidi="ar-SA"/>
        </w:rPr>
        <w:t>。实施</w:t>
      </w:r>
      <w:r>
        <w:rPr>
          <w:rFonts w:hint="eastAsia" w:ascii="Times New Roman" w:hAnsi="Times New Roman" w:eastAsia="仿宋" w:cs="Times New Roman"/>
          <w:bCs w:val="0"/>
          <w:kern w:val="2"/>
          <w:sz w:val="32"/>
          <w:szCs w:val="22"/>
          <w:lang w:val="en-US" w:eastAsia="zh-CN" w:bidi="ar-SA"/>
        </w:rPr>
        <w:t>智慧广电乡村工程，对乡村有线广播、有线电视网络进行数字化升级，</w:t>
      </w:r>
      <w:r>
        <w:rPr>
          <w:rFonts w:hint="eastAsia" w:cs="Times New Roman"/>
          <w:bCs w:val="0"/>
          <w:kern w:val="2"/>
          <w:sz w:val="32"/>
          <w:szCs w:val="22"/>
          <w:lang w:val="en-US" w:eastAsia="zh-CN" w:bidi="ar-SA"/>
        </w:rPr>
        <w:t>完善乡村应急广播体系，推进直播卫星标清终端向高清超高清升级</w:t>
      </w:r>
      <w:r>
        <w:rPr>
          <w:rFonts w:hint="eastAsia" w:ascii="Times New Roman" w:hAnsi="Times New Roman" w:eastAsia="仿宋" w:cs="Times New Roman"/>
          <w:bCs w:val="0"/>
          <w:kern w:val="2"/>
          <w:sz w:val="32"/>
          <w:szCs w:val="22"/>
          <w:lang w:val="en-US" w:eastAsia="zh-CN" w:bidi="ar-SA"/>
        </w:rPr>
        <w:t>。</w:t>
      </w:r>
    </w:p>
    <w:p w14:paraId="082EED72">
      <w:pPr>
        <w:pStyle w:val="4"/>
        <w:bidi w:val="0"/>
        <w:rPr>
          <w:rFonts w:hint="eastAsia"/>
          <w:highlight w:val="none"/>
          <w:lang w:val="en-US" w:eastAsia="zh-CN"/>
        </w:rPr>
      </w:pPr>
      <w:bookmarkStart w:id="75" w:name="_Toc935"/>
      <w:r>
        <w:rPr>
          <w:rFonts w:hint="eastAsia"/>
          <w:highlight w:val="none"/>
          <w:lang w:val="en-US" w:eastAsia="zh-CN"/>
        </w:rPr>
        <w:t>第二节 整体提升乡村治理效能</w:t>
      </w:r>
      <w:bookmarkEnd w:id="67"/>
      <w:bookmarkEnd w:id="68"/>
      <w:bookmarkEnd w:id="69"/>
      <w:bookmarkEnd w:id="70"/>
      <w:bookmarkEnd w:id="75"/>
    </w:p>
    <w:p w14:paraId="349327C8">
      <w:pPr>
        <w:rPr>
          <w:rFonts w:hint="eastAsia"/>
          <w:lang w:val="en-US" w:eastAsia="zh-CN"/>
        </w:rPr>
      </w:pPr>
      <w:r>
        <w:rPr>
          <w:rFonts w:hint="eastAsia"/>
          <w:b/>
          <w:bCs/>
          <w:color w:val="auto"/>
          <w:highlight w:val="none"/>
          <w:lang w:val="en-US" w:eastAsia="zh-CN"/>
        </w:rPr>
        <w:t>党建引领夯实治理根基。</w:t>
      </w:r>
      <w:r>
        <w:rPr>
          <w:rFonts w:hint="eastAsia"/>
          <w:b w:val="0"/>
          <w:bCs w:val="0"/>
          <w:color w:val="auto"/>
          <w:highlight w:val="none"/>
          <w:lang w:val="en-US" w:eastAsia="zh-CN"/>
        </w:rPr>
        <w:t>充分发挥</w:t>
      </w:r>
      <w:r>
        <w:rPr>
          <w:rFonts w:hint="eastAsia"/>
          <w:b w:val="0"/>
          <w:bCs w:val="0"/>
          <w:lang w:val="en-US" w:eastAsia="zh-CN"/>
        </w:rPr>
        <w:t>基层党组织战斗堡垒作用和党员先锋模范作用，全面提高城乡基层党组织领导基层治理的能力和水平。创新实施“领头雁”工程，选优配强村（社区）党组织书记，注重从致富能人、退役军人、本乡本土大学生中培养选拔一批优秀村（社区）干部。创新实施“定制新农干”培育工程，重点培养一批政治素质好、农村发展急需、留得住扎下根、具备农业生产经营管理新理念新知识新技能的村干部队伍，持续排查整顿软弱涣散村党组织，做好村“两委”换届，确保换届后的村“两委”班子整体素质提升、结构优化。推广“党建网格”模式，将网格作为加强治理、服务群众的基础单元，构建“党建引领、网格筑基、多元共治”的治理体系。</w:t>
      </w:r>
    </w:p>
    <w:p w14:paraId="512898ED">
      <w:pPr>
        <w:keepNext w:val="0"/>
        <w:keepLines w:val="0"/>
        <w:pageBreakBefore w:val="0"/>
        <w:widowControl w:val="0"/>
        <w:kinsoku/>
        <w:wordWrap/>
        <w:overflowPunct/>
        <w:topLinePunct w:val="0"/>
        <w:autoSpaceDE/>
        <w:autoSpaceDN/>
        <w:bidi w:val="0"/>
        <w:adjustRightInd/>
        <w:snapToGrid/>
        <w:textAlignment w:val="auto"/>
        <w:rPr>
          <w:rFonts w:hint="eastAsia"/>
          <w:b w:val="0"/>
          <w:bCs w:val="0"/>
          <w:lang w:val="en-US" w:eastAsia="zh-CN"/>
        </w:rPr>
      </w:pPr>
      <w:r>
        <w:rPr>
          <w:rFonts w:hint="eastAsia"/>
          <w:b/>
          <w:bCs/>
          <w:color w:val="auto"/>
          <w:highlight w:val="none"/>
          <w:lang w:val="en-US" w:eastAsia="zh-CN"/>
        </w:rPr>
        <w:t>三治融合提升治理效能。</w:t>
      </w:r>
      <w:r>
        <w:rPr>
          <w:rFonts w:hint="eastAsia"/>
          <w:b w:val="0"/>
          <w:bCs w:val="0"/>
          <w:lang w:val="en-US" w:eastAsia="zh-CN"/>
        </w:rPr>
        <w:t>健全自治、法治、德治“三治协同”机制，自治激发内生动力，加强群众性自治组织规范化建设，选优配强基层自治组织成员，健全完善民主选举、民主协商、民主决策、民主管理、民主监督等制度。法治夯实治理底线，打造区、镇街、村（社区）三级公共法律服务平台，深化“1名村（居）法律顾问+N名法律明白人”行动，建强基层法治队伍。德治涵养文明乡风，引导和鼓励村委会修订完善村规民约，建立备案和监督工作机制，发挥“村民议事会”“道德评议会”“红白理事会”等群众组织作用，推广乡村治理“积分制”，引领广大村民自觉弘扬文明风尚。</w:t>
      </w:r>
    </w:p>
    <w:p w14:paraId="7B146D20">
      <w:pPr>
        <w:rPr>
          <w:rFonts w:hint="eastAsia" w:ascii="Times New Roman" w:hAnsi="Times New Roman" w:eastAsia="仿宋" w:cs="Times New Roman"/>
          <w:bCs w:val="0"/>
          <w:kern w:val="2"/>
          <w:sz w:val="32"/>
          <w:szCs w:val="22"/>
          <w:lang w:val="en-US" w:eastAsia="zh-CN" w:bidi="ar-SA"/>
        </w:rPr>
      </w:pPr>
      <w:r>
        <w:rPr>
          <w:rFonts w:hint="eastAsia"/>
          <w:b/>
          <w:bCs/>
          <w:color w:val="auto"/>
          <w:highlight w:val="none"/>
          <w:lang w:val="en-US" w:eastAsia="zh-CN"/>
        </w:rPr>
        <w:t>优化矛盾纠纷多元化解体系。</w:t>
      </w:r>
      <w:r>
        <w:rPr>
          <w:rFonts w:hint="eastAsia" w:ascii="Times New Roman" w:hAnsi="Times New Roman" w:eastAsia="仿宋" w:cs="Times New Roman"/>
          <w:bCs w:val="0"/>
          <w:kern w:val="2"/>
          <w:sz w:val="32"/>
          <w:szCs w:val="22"/>
          <w:lang w:val="en-US" w:eastAsia="zh-CN" w:bidi="ar-SA"/>
        </w:rPr>
        <w:t>坚持和发展新时代“枫桥经验”，完善社会矛盾纠纷多元预防调处化解综合机制</w:t>
      </w:r>
      <w:r>
        <w:rPr>
          <w:rFonts w:hint="eastAsia" w:eastAsia="仿宋"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构建“小事不出村、大事不出镇”的纠纷化解格局。推进“党格+网格+警格”建设</w:t>
      </w:r>
      <w:r>
        <w:rPr>
          <w:rFonts w:hint="eastAsia" w:cs="Times New Roman"/>
          <w:bCs w:val="0"/>
          <w:kern w:val="2"/>
          <w:sz w:val="32"/>
          <w:szCs w:val="22"/>
          <w:lang w:val="en-US" w:eastAsia="zh-CN" w:bidi="ar-SA"/>
        </w:rPr>
        <w:t>，</w:t>
      </w:r>
      <w:r>
        <w:rPr>
          <w:rFonts w:hint="eastAsia" w:eastAsia="仿宋" w:cs="Times New Roman"/>
          <w:bCs w:val="0"/>
          <w:kern w:val="2"/>
          <w:sz w:val="32"/>
          <w:szCs w:val="22"/>
          <w:lang w:val="en-US" w:eastAsia="zh-CN" w:bidi="ar-SA"/>
        </w:rPr>
        <w:t>推进矛盾纠纷联动排查化解，重拳整治电信网络诈骗、养老诈骗等突出违法犯罪</w:t>
      </w:r>
      <w:r>
        <w:rPr>
          <w:rFonts w:hint="eastAsia" w:ascii="Times New Roman" w:hAnsi="Times New Roman" w:eastAsia="仿宋" w:cs="Times New Roman"/>
          <w:bCs w:val="0"/>
          <w:kern w:val="2"/>
          <w:sz w:val="32"/>
          <w:szCs w:val="22"/>
          <w:lang w:val="en-US" w:eastAsia="zh-CN" w:bidi="ar-SA"/>
        </w:rPr>
        <w:t>。全力打造区、镇街、村（社区）三级“一站式”矛盾纠纷调处化解平台，汇聚司法所、派出所、信访等各类力量，推动实现“一站式受理、一揽子调处、全链条解决”</w:t>
      </w:r>
      <w:r>
        <w:rPr>
          <w:rFonts w:hint="eastAsia"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依法维护农村妇女儿童合法权益</w:t>
      </w:r>
      <w:r>
        <w:rPr>
          <w:rFonts w:hint="eastAsia" w:ascii="Times New Roman" w:hAnsi="Times New Roman"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实施“巾帼普法乡村行”行动</w:t>
      </w:r>
      <w:r>
        <w:rPr>
          <w:rFonts w:hint="eastAsia" w:ascii="Times New Roman" w:hAnsi="Times New Roman"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大力推进“无讼、无访、无案、无毒、无黑”“枫桥式”村（社区）建设</w:t>
      </w:r>
      <w:r>
        <w:rPr>
          <w:rFonts w:hint="eastAsia" w:cs="Times New Roman"/>
          <w:bCs w:val="0"/>
          <w:kern w:val="2"/>
          <w:sz w:val="32"/>
          <w:szCs w:val="22"/>
          <w:lang w:val="en-US" w:eastAsia="zh-CN" w:bidi="ar-SA"/>
        </w:rPr>
        <w:t>。到2030年，</w:t>
      </w:r>
      <w:r>
        <w:rPr>
          <w:rFonts w:hint="eastAsia" w:ascii="Times New Roman" w:hAnsi="Times New Roman" w:eastAsia="仿宋" w:cs="Times New Roman"/>
          <w:bCs w:val="0"/>
          <w:kern w:val="2"/>
          <w:sz w:val="32"/>
          <w:szCs w:val="22"/>
          <w:lang w:val="en-US" w:eastAsia="zh-CN" w:bidi="ar-SA"/>
        </w:rPr>
        <w:t>“枫桥式”村建成率达100%，镇街“一站式”社会矛盾纠纷调处化解中心建成率达100%。</w:t>
      </w:r>
    </w:p>
    <w:p w14:paraId="2981EF85">
      <w:pPr>
        <w:keepNext w:val="0"/>
        <w:keepLines w:val="0"/>
        <w:pageBreakBefore w:val="0"/>
        <w:widowControl w:val="0"/>
        <w:kinsoku/>
        <w:wordWrap/>
        <w:overflowPunct/>
        <w:topLinePunct w:val="0"/>
        <w:autoSpaceDE/>
        <w:autoSpaceDN/>
        <w:bidi w:val="0"/>
        <w:adjustRightInd/>
        <w:snapToGrid/>
        <w:textAlignment w:val="auto"/>
        <w:rPr>
          <w:rFonts w:hint="eastAsia"/>
          <w:b w:val="0"/>
          <w:bCs w:val="0"/>
          <w:lang w:val="en-US" w:eastAsia="zh-CN"/>
        </w:rPr>
      </w:pPr>
      <w:r>
        <w:rPr>
          <w:rFonts w:hint="eastAsia"/>
          <w:b/>
          <w:bCs/>
          <w:color w:val="auto"/>
          <w:highlight w:val="none"/>
          <w:lang w:val="en-US" w:eastAsia="zh-CN"/>
        </w:rPr>
        <w:t>提升乡村智慧治理水平。</w:t>
      </w:r>
      <w:r>
        <w:rPr>
          <w:rFonts w:hint="eastAsia"/>
          <w:b w:val="0"/>
          <w:bCs w:val="0"/>
          <w:lang w:val="en-US" w:eastAsia="zh-CN"/>
        </w:rPr>
        <w:t>完善“大数据+网格化+铁脚板”治理机制，充分发挥综治警务“双网融合”优势，构建综合网格“一网统筹”、网格员“一专多能”、大事全网联动、小事一格解决的新格局。</w:t>
      </w:r>
      <w:r>
        <w:rPr>
          <w:rFonts w:hint="eastAsia"/>
          <w:lang w:val="en-US" w:eastAsia="zh-CN"/>
        </w:rPr>
        <w:t>推动村级综合服务中心数字设施升级，配备智能终端、自助办理设备，将城区“一网通办”政务服务延伸至乡村，实现参保登记、社保缴费、证明办理、政策咨询等高频事项“村级可办、就近可办”。推动乡村数字终端、线上服务适老化改造，简化村级自助设备操作流程，增设“老年模式”“语音导航”，方便留守老人操作。</w:t>
      </w:r>
      <w:r>
        <w:rPr>
          <w:rFonts w:hint="eastAsia" w:ascii="Times New Roman" w:hAnsi="Times New Roman" w:cs="仿宋"/>
          <w:b w:val="0"/>
          <w:bCs w:val="0"/>
          <w:color w:val="auto"/>
          <w:highlight w:val="none"/>
          <w:lang w:val="en-US" w:eastAsia="zh-CN"/>
        </w:rPr>
        <w:t>创新</w:t>
      </w:r>
      <w:r>
        <w:rPr>
          <w:rFonts w:hint="eastAsia" w:ascii="Times New Roman" w:hAnsi="Times New Roman" w:cs="仿宋"/>
          <w:b w:val="0"/>
          <w:bCs w:val="0"/>
          <w:color w:val="auto"/>
          <w:highlight w:val="none"/>
          <w:lang w:eastAsia="zh-CN"/>
        </w:rPr>
        <w:t>开发“AI网格员”、</w:t>
      </w:r>
      <w:r>
        <w:rPr>
          <w:rFonts w:hint="eastAsia" w:ascii="Times New Roman" w:hAnsi="Times New Roman" w:cs="仿宋"/>
          <w:b w:val="0"/>
          <w:bCs w:val="0"/>
          <w:color w:val="auto"/>
          <w:highlight w:val="none"/>
          <w:lang w:val="en-US" w:eastAsia="zh-CN"/>
        </w:rPr>
        <w:t>推行“AI+矛盾调解”等应用场景，积极探索人工智能驱动的精准治理模式。</w:t>
      </w:r>
    </w:p>
    <w:bookmarkEnd w:id="71"/>
    <w:bookmarkEnd w:id="72"/>
    <w:bookmarkEnd w:id="73"/>
    <w:bookmarkEnd w:id="74"/>
    <w:p w14:paraId="61F6875E">
      <w:pPr>
        <w:pStyle w:val="4"/>
        <w:bidi w:val="0"/>
        <w:rPr>
          <w:rFonts w:hint="eastAsia"/>
          <w:highlight w:val="none"/>
          <w:lang w:val="en-US" w:eastAsia="zh-CN"/>
        </w:rPr>
      </w:pPr>
      <w:bookmarkStart w:id="76" w:name="_Toc369"/>
      <w:bookmarkStart w:id="77" w:name="_Toc15450"/>
      <w:bookmarkStart w:id="78" w:name="_Toc9976"/>
      <w:bookmarkStart w:id="79" w:name="_Toc7506"/>
      <w:bookmarkStart w:id="80" w:name="_Toc4870"/>
      <w:r>
        <w:rPr>
          <w:rFonts w:hint="eastAsia"/>
          <w:highlight w:val="none"/>
          <w:lang w:val="en-US" w:eastAsia="zh-CN"/>
        </w:rPr>
        <w:t xml:space="preserve">第三节 </w:t>
      </w:r>
      <w:bookmarkEnd w:id="76"/>
      <w:r>
        <w:rPr>
          <w:rFonts w:hint="eastAsia"/>
          <w:highlight w:val="none"/>
          <w:lang w:val="en-US" w:eastAsia="zh-CN"/>
        </w:rPr>
        <w:t>深化农村精神文明建设</w:t>
      </w:r>
      <w:bookmarkEnd w:id="77"/>
      <w:bookmarkEnd w:id="78"/>
      <w:bookmarkEnd w:id="79"/>
      <w:bookmarkEnd w:id="80"/>
    </w:p>
    <w:p w14:paraId="7E5A17D4">
      <w:pPr>
        <w:rPr>
          <w:rFonts w:hint="default"/>
          <w:lang w:val="en-US" w:eastAsia="zh-CN"/>
        </w:rPr>
      </w:pPr>
      <w:r>
        <w:rPr>
          <w:rFonts w:hint="eastAsia"/>
          <w:b/>
          <w:bCs/>
          <w:color w:val="auto"/>
          <w:highlight w:val="none"/>
          <w:lang w:val="en-US" w:eastAsia="zh-CN"/>
        </w:rPr>
        <w:t>构建新时代文明实践体系。</w:t>
      </w:r>
      <w:r>
        <w:rPr>
          <w:rFonts w:hint="default"/>
          <w:lang w:val="en-US" w:eastAsia="zh-CN"/>
        </w:rPr>
        <w:t>实施新时代文明实践中心（所、站）提档升级工程，通过空间活化、功能融合、资源整合，构筑</w:t>
      </w:r>
      <w:r>
        <w:rPr>
          <w:rFonts w:hint="eastAsia"/>
          <w:lang w:val="en-US" w:eastAsia="zh-CN"/>
        </w:rPr>
        <w:t>“</w:t>
      </w:r>
      <w:r>
        <w:rPr>
          <w:rFonts w:hint="default"/>
          <w:lang w:val="en-US" w:eastAsia="zh-CN"/>
        </w:rPr>
        <w:t>10分钟文明实践圈</w:t>
      </w:r>
      <w:r>
        <w:rPr>
          <w:rFonts w:hint="eastAsia"/>
          <w:lang w:val="en-US" w:eastAsia="zh-CN"/>
        </w:rPr>
        <w:t>”。用好用活文体广场、农家书屋、文化礼堂等，鼓励有条件的村镇建设乡情村史展览室，保护性激活革命遗址资源，发挥红色资源教育基地作用，形成集政策理论宣讲、科技科普、群众文化休闲娱乐等于一体的文明实践阵地。发挥姚家社区“全国文明单位”示范带动作用，依托省级特色田园乡村，融合农耕文化，打造“泰美小园”文明实践基地，形成“室内+室外”立体实践场景。精准聚焦特殊群体需求，推出“流动实践站”服务，常态化开展“实地研学”“送学上门”“健康义诊”等精准服务。</w:t>
      </w:r>
    </w:p>
    <w:p w14:paraId="7CC964AA">
      <w:pPr>
        <w:rPr>
          <w:rFonts w:hint="eastAsia"/>
          <w:lang w:val="en-US" w:eastAsia="zh-CN"/>
        </w:rPr>
      </w:pPr>
      <w:r>
        <w:rPr>
          <w:rFonts w:hint="eastAsia"/>
          <w:b/>
          <w:bCs/>
          <w:color w:val="auto"/>
          <w:highlight w:val="none"/>
          <w:lang w:val="en-US" w:eastAsia="zh-CN"/>
        </w:rPr>
        <w:t>强化典型示范引领作用。</w:t>
      </w:r>
      <w:r>
        <w:rPr>
          <w:rFonts w:hint="eastAsia"/>
          <w:lang w:val="en-US" w:eastAsia="zh-CN"/>
        </w:rPr>
        <w:t>建设乡村美德馆、红色文化墙、家风家训馆等实体阵地，开展“星级文明户”“最美婆媳”等评选活动，组织“五好家庭”代表、道德模范、身边好人等进村（社区）宣讲好家风、好家训、家故事，以身边人、身边事带动乡风文明。</w:t>
      </w:r>
      <w:r>
        <w:rPr>
          <w:rFonts w:hint="eastAsia" w:ascii="Times New Roman" w:hAnsi="Times New Roman" w:eastAsia="仿宋" w:cs="Times New Roman"/>
          <w:bCs w:val="0"/>
          <w:kern w:val="2"/>
          <w:sz w:val="32"/>
          <w:szCs w:val="22"/>
          <w:lang w:val="en-US" w:eastAsia="zh-CN" w:bidi="ar-SA"/>
        </w:rPr>
        <w:t>充分发挥海陵“凤城”元素，以“凤凰于飞，爱在海陵”为主题，进行“海陵婚俗文化”宣传，深入推进移风易俗，</w:t>
      </w:r>
      <w:r>
        <w:rPr>
          <w:rFonts w:hint="eastAsia"/>
          <w:lang w:val="en-US" w:eastAsia="zh-CN"/>
        </w:rPr>
        <w:t>组织开展婚丧嫁娶服务、邻里互助和道德评议活动，</w:t>
      </w:r>
      <w:r>
        <w:rPr>
          <w:rFonts w:hint="eastAsia" w:ascii="Times New Roman" w:hAnsi="Times New Roman" w:eastAsia="仿宋" w:cs="Times New Roman"/>
          <w:bCs w:val="0"/>
          <w:kern w:val="2"/>
          <w:sz w:val="32"/>
          <w:szCs w:val="22"/>
          <w:lang w:val="en-US" w:eastAsia="zh-CN" w:bidi="ar-SA"/>
        </w:rPr>
        <w:t>发挥村（社区）红白理事会作用，抵制讲排场、比阔气等不良风气。</w:t>
      </w:r>
      <w:r>
        <w:rPr>
          <w:rFonts w:hint="eastAsia"/>
          <w:lang w:val="en-US" w:eastAsia="zh-CN"/>
        </w:rPr>
        <w:t>探索“积分制+文明银行”模式，将参与志愿服务、移风易俗等行为转化为可兑换的信用积分，激发群众参与积极性。</w:t>
      </w:r>
    </w:p>
    <w:p w14:paraId="7B6DEB19">
      <w:pPr>
        <w:pStyle w:val="2"/>
        <w:keepNext w:val="0"/>
        <w:keepLines w:val="0"/>
        <w:pageBreakBefore w:val="0"/>
        <w:widowControl/>
        <w:kinsoku/>
        <w:wordWrap/>
        <w:overflowPunct/>
        <w:topLinePunct w:val="0"/>
        <w:autoSpaceDE/>
        <w:autoSpaceDN/>
        <w:bidi w:val="0"/>
        <w:adjustRightInd/>
        <w:snapToGrid/>
        <w:spacing w:line="360" w:lineRule="auto"/>
        <w:ind w:firstLine="643"/>
        <w:textAlignment w:val="auto"/>
        <w:rPr>
          <w:rFonts w:hint="default" w:ascii="Times New Roman" w:hAnsi="Times New Roman" w:eastAsia="仿宋" w:cs="Times New Roman"/>
          <w:b w:val="0"/>
          <w:bCs w:val="0"/>
          <w:kern w:val="2"/>
          <w:sz w:val="32"/>
          <w:szCs w:val="22"/>
          <w:highlight w:val="none"/>
          <w:lang w:val="en-US" w:eastAsia="zh-CN" w:bidi="ar-SA"/>
        </w:rPr>
      </w:pPr>
      <w:r>
        <w:rPr>
          <w:rFonts w:hint="eastAsia" w:ascii="Times New Roman" w:hAnsi="Times New Roman" w:eastAsia="仿宋" w:cs="Times New Roman"/>
          <w:b/>
          <w:bCs/>
          <w:kern w:val="2"/>
          <w:sz w:val="32"/>
          <w:szCs w:val="22"/>
          <w:highlight w:val="none"/>
          <w:lang w:val="en-US" w:eastAsia="zh-CN" w:bidi="ar-SA"/>
        </w:rPr>
        <w:t>丰富精神文明多元供给。</w:t>
      </w:r>
      <w:r>
        <w:rPr>
          <w:rFonts w:hint="eastAsia" w:eastAsia="仿宋" w:cs="Times New Roman"/>
          <w:b w:val="0"/>
          <w:bCs w:val="0"/>
          <w:kern w:val="2"/>
          <w:sz w:val="32"/>
          <w:szCs w:val="22"/>
          <w:lang w:val="en-US" w:eastAsia="zh-CN" w:bidi="ar-SA"/>
        </w:rPr>
        <w:t>通过“活化传承、场景打造、活动落地”，推动水乡文化、农耕文化、非遗文化、红色文化等本土文化资源，成为乡村精神文明供给的核心载体。建立健全城乡文化联动机制，推动城区优质文化资源“下沉乡村”，乡村特色文化“走进城区”，实现城乡文化资源双向互通、共享共赢。针对乡村老人、留守儿童、返乡青年等不同群体，提供差异化、精准化的文化供给服务。</w:t>
      </w:r>
      <w:r>
        <w:rPr>
          <w:rFonts w:hint="eastAsia" w:ascii="Times New Roman" w:hAnsi="Times New Roman" w:eastAsia="仿宋" w:cs="Times New Roman"/>
          <w:bCs w:val="0"/>
          <w:kern w:val="2"/>
          <w:sz w:val="32"/>
          <w:szCs w:val="22"/>
          <w:lang w:val="en-US" w:eastAsia="zh-CN" w:bidi="ar-SA"/>
        </w:rPr>
        <w:t>支持农民群众自办文化，充分挖掘和组织农村业余文艺爱好者、民间文艺能人等人才资源</w:t>
      </w:r>
      <w:r>
        <w:rPr>
          <w:rFonts w:hint="eastAsia" w:eastAsia="仿宋" w:cs="Times New Roman"/>
          <w:bCs w:val="0"/>
          <w:kern w:val="2"/>
          <w:sz w:val="32"/>
          <w:szCs w:val="22"/>
          <w:lang w:val="en-US" w:eastAsia="zh-CN" w:bidi="ar-SA"/>
        </w:rPr>
        <w:t>。</w:t>
      </w:r>
      <w:r>
        <w:rPr>
          <w:rFonts w:hint="eastAsia" w:ascii="Times New Roman" w:hAnsi="Times New Roman" w:eastAsia="仿宋" w:cs="Times New Roman"/>
          <w:b w:val="0"/>
          <w:bCs w:val="0"/>
          <w:kern w:val="2"/>
          <w:sz w:val="32"/>
          <w:szCs w:val="22"/>
          <w:lang w:val="en-US" w:eastAsia="zh-CN" w:bidi="ar-SA"/>
        </w:rPr>
        <w:t>综合运用现代数智科技与人工智能手段</w:t>
      </w:r>
      <w:r>
        <w:rPr>
          <w:rFonts w:hint="eastAsia" w:eastAsia="仿宋" w:cs="Times New Roman"/>
          <w:b w:val="0"/>
          <w:bCs w:val="0"/>
          <w:kern w:val="2"/>
          <w:sz w:val="32"/>
          <w:szCs w:val="22"/>
          <w:lang w:val="en-US" w:eastAsia="zh-CN" w:bidi="ar-SA"/>
        </w:rPr>
        <w:t>，</w:t>
      </w:r>
      <w:r>
        <w:rPr>
          <w:rFonts w:hint="eastAsia" w:ascii="Times New Roman" w:hAnsi="Times New Roman" w:eastAsia="仿宋" w:cs="Times New Roman"/>
          <w:b w:val="0"/>
          <w:bCs w:val="0"/>
          <w:kern w:val="2"/>
          <w:sz w:val="32"/>
          <w:szCs w:val="22"/>
          <w:lang w:val="en-US" w:eastAsia="zh-CN" w:bidi="ar-SA"/>
        </w:rPr>
        <w:t>开发更多富有农耕农趣农味的文化产品及场景，</w:t>
      </w:r>
      <w:r>
        <w:rPr>
          <w:rFonts w:hint="eastAsia" w:eastAsia="仿宋" w:cs="Times New Roman"/>
          <w:b w:val="0"/>
          <w:bCs w:val="0"/>
          <w:kern w:val="2"/>
          <w:sz w:val="32"/>
          <w:szCs w:val="22"/>
          <w:lang w:val="en-US" w:eastAsia="zh-CN" w:bidi="ar-SA"/>
        </w:rPr>
        <w:t>支持发展</w:t>
      </w:r>
      <w:r>
        <w:rPr>
          <w:rFonts w:hint="eastAsia" w:ascii="Times New Roman" w:hAnsi="Times New Roman" w:eastAsia="仿宋" w:cs="Times New Roman"/>
          <w:b w:val="0"/>
          <w:bCs w:val="0"/>
          <w:kern w:val="2"/>
          <w:sz w:val="32"/>
          <w:szCs w:val="22"/>
          <w:lang w:val="en-US" w:eastAsia="zh-CN" w:bidi="ar-SA"/>
        </w:rPr>
        <w:t>“村歌”“村晚”“村超”等乡村文化产品服务供给新形态</w:t>
      </w:r>
      <w:r>
        <w:rPr>
          <w:rFonts w:hint="eastAsia" w:eastAsia="仿宋" w:cs="Times New Roman"/>
          <w:b w:val="0"/>
          <w:bCs w:val="0"/>
          <w:kern w:val="2"/>
          <w:sz w:val="32"/>
          <w:szCs w:val="22"/>
          <w:lang w:val="en-US" w:eastAsia="zh-CN" w:bidi="ar-SA"/>
        </w:rPr>
        <w:t>。</w:t>
      </w:r>
    </w:p>
    <w:p w14:paraId="5D7CD777">
      <w:pPr>
        <w:rPr>
          <w:rFonts w:hint="default" w:ascii="Times New Roman" w:hAnsi="Times New Roman" w:eastAsia="仿宋" w:cs="Times New Roman"/>
          <w:b w:val="0"/>
          <w:bCs w:val="0"/>
          <w:kern w:val="2"/>
          <w:sz w:val="32"/>
          <w:szCs w:val="22"/>
          <w:lang w:val="en-US" w:eastAsia="zh-CN" w:bidi="ar-SA"/>
        </w:rPr>
      </w:pPr>
      <w:r>
        <w:rPr>
          <w:rFonts w:hint="eastAsia"/>
          <w:b/>
          <w:bCs/>
          <w:highlight w:val="none"/>
          <w:lang w:val="en-US" w:eastAsia="zh-CN"/>
        </w:rPr>
        <w:t>推进乡村生态文明建设。</w:t>
      </w:r>
      <w:r>
        <w:rPr>
          <w:rFonts w:hint="eastAsia" w:cs="Times New Roman"/>
          <w:b w:val="0"/>
          <w:bCs w:val="0"/>
          <w:kern w:val="2"/>
          <w:sz w:val="32"/>
          <w:szCs w:val="22"/>
          <w:lang w:val="en-US" w:eastAsia="zh-CN" w:bidi="ar-SA"/>
        </w:rPr>
        <w:t>立足里下河水乡、城郊田园的生态基底，将乡村生态建设纳入主城区生态治理体系，筑牢乡村生态安全屏障</w:t>
      </w:r>
      <w:r>
        <w:rPr>
          <w:rFonts w:hint="eastAsia" w:ascii="Times New Roman" w:hAnsi="Times New Roman" w:cs="Times New Roman"/>
          <w:b w:val="0"/>
          <w:bCs w:val="0"/>
          <w:kern w:val="2"/>
          <w:sz w:val="32"/>
          <w:szCs w:val="22"/>
          <w:lang w:val="en-US" w:eastAsia="zh-CN" w:bidi="ar-SA"/>
        </w:rPr>
        <w:t>。</w:t>
      </w:r>
      <w:r>
        <w:rPr>
          <w:rFonts w:hint="eastAsia" w:cs="Times New Roman"/>
          <w:b w:val="0"/>
          <w:bCs w:val="0"/>
          <w:kern w:val="2"/>
          <w:sz w:val="32"/>
          <w:szCs w:val="22"/>
          <w:lang w:val="en-US" w:eastAsia="zh-CN" w:bidi="ar-SA"/>
        </w:rPr>
        <w:t>严</w:t>
      </w:r>
      <w:r>
        <w:rPr>
          <w:rFonts w:hint="default" w:ascii="Times New Roman" w:hAnsi="Times New Roman" w:eastAsia="仿宋" w:cs="Times New Roman"/>
          <w:b w:val="0"/>
          <w:bCs w:val="0"/>
          <w:kern w:val="2"/>
          <w:sz w:val="32"/>
          <w:szCs w:val="22"/>
          <w:lang w:val="en-US" w:eastAsia="zh-CN" w:bidi="ar-SA"/>
        </w:rPr>
        <w:t>格落实生态保护红线管控要求</w:t>
      </w:r>
      <w:r>
        <w:rPr>
          <w:rFonts w:hint="eastAsia" w:cs="Times New Roman"/>
          <w:b w:val="0"/>
          <w:bCs w:val="0"/>
          <w:kern w:val="2"/>
          <w:sz w:val="32"/>
          <w:szCs w:val="22"/>
          <w:lang w:val="en-US" w:eastAsia="zh-CN" w:bidi="ar-SA"/>
        </w:rPr>
        <w:t>，保护</w:t>
      </w:r>
      <w:r>
        <w:rPr>
          <w:rFonts w:hint="eastAsia" w:ascii="Times New Roman" w:hAnsi="Times New Roman" w:cs="Times New Roman"/>
          <w:b w:val="0"/>
          <w:bCs w:val="0"/>
          <w:kern w:val="2"/>
          <w:sz w:val="32"/>
          <w:szCs w:val="22"/>
          <w:lang w:val="en-US" w:eastAsia="zh-CN" w:bidi="ar-SA"/>
        </w:rPr>
        <w:t>乡村自然林地、小微湿地、河沟塘坝等原生生态单元</w:t>
      </w:r>
      <w:r>
        <w:rPr>
          <w:rFonts w:hint="eastAsia" w:cs="Times New Roman"/>
          <w:b w:val="0"/>
          <w:bCs w:val="0"/>
          <w:kern w:val="2"/>
          <w:sz w:val="32"/>
          <w:szCs w:val="22"/>
          <w:lang w:val="en-US" w:eastAsia="zh-CN" w:bidi="ar-SA"/>
        </w:rPr>
        <w:t>，</w:t>
      </w:r>
      <w:r>
        <w:rPr>
          <w:rFonts w:hint="eastAsia" w:ascii="Times New Roman" w:hAnsi="Times New Roman" w:cs="Times New Roman"/>
          <w:b w:val="0"/>
          <w:bCs w:val="0"/>
          <w:kern w:val="2"/>
          <w:sz w:val="32"/>
          <w:szCs w:val="22"/>
          <w:lang w:val="en-US" w:eastAsia="zh-CN" w:bidi="ar-SA"/>
        </w:rPr>
        <w:t>建设滨水生态绿道、农田防护林带，串联乡村生态节点与城市生态系统，实现城乡生态空间互联互通</w:t>
      </w:r>
      <w:r>
        <w:rPr>
          <w:rFonts w:hint="eastAsia"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充分利用荒地、废弃地、边角地等开展村庄小微公园和公共绿地建设</w:t>
      </w:r>
      <w:r>
        <w:rPr>
          <w:rFonts w:hint="eastAsia"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通过农村</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四旁</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植树推进村庄绿化，引导鼓励村民通过栽植果蔬、花木等开展村庄绿化美化，打造美丽庭院、美丽菜园</w:t>
      </w:r>
      <w:r>
        <w:rPr>
          <w:rFonts w:hint="eastAsia"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以</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幸福河湖</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建设为统领，持续推进农村生态河道建设，健全完善河湖长制体系，加强村级河长、小微水体片区河长和保洁员队伍建设，开展常态化规范化河湖</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清四乱</w:t>
      </w:r>
      <w:r>
        <w:rPr>
          <w:rFonts w:hint="eastAsia" w:ascii="Times New Roman" w:hAnsi="Times New Roman" w:eastAsia="仿宋" w:cs="Times New Roman"/>
          <w:b w:val="0"/>
          <w:bCs w:val="0"/>
          <w:kern w:val="2"/>
          <w:sz w:val="32"/>
          <w:szCs w:val="22"/>
          <w:lang w:val="en-US" w:eastAsia="zh-CN" w:bidi="ar-SA"/>
        </w:rPr>
        <w:t>”</w:t>
      </w:r>
      <w:r>
        <w:rPr>
          <w:rFonts w:hint="default" w:ascii="Times New Roman" w:hAnsi="Times New Roman" w:eastAsia="仿宋" w:cs="Times New Roman"/>
          <w:b w:val="0"/>
          <w:bCs w:val="0"/>
          <w:kern w:val="2"/>
          <w:sz w:val="32"/>
          <w:szCs w:val="22"/>
          <w:lang w:val="en-US" w:eastAsia="zh-CN" w:bidi="ar-SA"/>
        </w:rPr>
        <w:t>行动</w:t>
      </w:r>
      <w:r>
        <w:rPr>
          <w:rFonts w:hint="eastAsia" w:ascii="Times New Roman" w:hAnsi="Times New Roman" w:cs="Times New Roman"/>
          <w:b w:val="0"/>
          <w:bCs w:val="0"/>
          <w:kern w:val="2"/>
          <w:sz w:val="32"/>
          <w:szCs w:val="22"/>
          <w:lang w:val="en-US" w:eastAsia="zh-CN" w:bidi="ar-SA"/>
        </w:rPr>
        <w:t>。</w:t>
      </w:r>
    </w:p>
    <w:p w14:paraId="7EB3F411">
      <w:pPr>
        <w:bidi w:val="0"/>
        <w:rPr>
          <w:rFonts w:hint="eastAsia"/>
          <w:lang w:val="en-US" w:eastAsia="zh-CN"/>
        </w:rPr>
      </w:pPr>
      <w:bookmarkStart w:id="81" w:name="_Toc32739"/>
      <w:r>
        <w:rPr>
          <w:rFonts w:hint="eastAsia"/>
          <w:lang w:val="en-US" w:eastAsia="zh-CN"/>
        </w:rPr>
        <w:br w:type="page"/>
      </w:r>
    </w:p>
    <w:p w14:paraId="16BFD070">
      <w:pPr>
        <w:pStyle w:val="3"/>
        <w:bidi w:val="0"/>
        <w:rPr>
          <w:rFonts w:hint="eastAsia"/>
          <w:highlight w:val="none"/>
        </w:rPr>
      </w:pPr>
      <w:bookmarkStart w:id="82" w:name="_Toc25407"/>
      <w:bookmarkStart w:id="83" w:name="_Toc16957"/>
      <w:bookmarkStart w:id="84" w:name="_Toc6434"/>
      <w:bookmarkStart w:id="85" w:name="_Toc8358"/>
      <w:r>
        <w:rPr>
          <w:rFonts w:hint="eastAsia"/>
          <w:highlight w:val="none"/>
          <w:lang w:val="en-US" w:eastAsia="zh-CN"/>
        </w:rPr>
        <w:t xml:space="preserve">第五章 </w:t>
      </w:r>
      <w:bookmarkEnd w:id="81"/>
      <w:r>
        <w:rPr>
          <w:rFonts w:hint="eastAsia"/>
          <w:highlight w:val="none"/>
        </w:rPr>
        <w:t>全面增强农民获得感幸福感</w:t>
      </w:r>
      <w:bookmarkEnd w:id="82"/>
      <w:bookmarkEnd w:id="83"/>
      <w:bookmarkEnd w:id="84"/>
      <w:bookmarkEnd w:id="85"/>
    </w:p>
    <w:p w14:paraId="468A3DD6">
      <w:pPr>
        <w:pStyle w:val="4"/>
        <w:bidi w:val="0"/>
        <w:rPr>
          <w:rFonts w:hint="eastAsia"/>
          <w:highlight w:val="none"/>
          <w:lang w:val="en-US" w:eastAsia="zh-CN"/>
        </w:rPr>
      </w:pPr>
      <w:bookmarkStart w:id="86" w:name="_Toc28376"/>
      <w:bookmarkStart w:id="87" w:name="_Toc10006"/>
      <w:bookmarkStart w:id="88" w:name="_Toc18300"/>
      <w:bookmarkStart w:id="89" w:name="_Toc2042"/>
      <w:bookmarkStart w:id="90" w:name="_Toc27575"/>
      <w:bookmarkStart w:id="91" w:name="_Toc5950"/>
      <w:bookmarkStart w:id="92" w:name="_Toc12200"/>
      <w:bookmarkStart w:id="93" w:name="_Toc16104"/>
      <w:bookmarkStart w:id="94" w:name="_Toc4701"/>
      <w:r>
        <w:rPr>
          <w:rFonts w:hint="eastAsia"/>
          <w:highlight w:val="none"/>
          <w:lang w:val="en-US" w:eastAsia="zh-CN"/>
        </w:rPr>
        <w:t>第一节 促进城乡深度融合发展</w:t>
      </w:r>
      <w:bookmarkEnd w:id="86"/>
    </w:p>
    <w:p w14:paraId="7488AE54">
      <w:pPr>
        <w:pStyle w:val="2"/>
        <w:keepNext w:val="0"/>
        <w:keepLines w:val="0"/>
        <w:pageBreakBefore w:val="0"/>
        <w:widowControl/>
        <w:kinsoku/>
        <w:wordWrap/>
        <w:overflowPunct/>
        <w:topLinePunct w:val="0"/>
        <w:autoSpaceDE/>
        <w:autoSpaceDN/>
        <w:bidi w:val="0"/>
        <w:adjustRightInd/>
        <w:snapToGrid/>
        <w:spacing w:line="360" w:lineRule="auto"/>
        <w:ind w:firstLine="643"/>
        <w:textAlignment w:val="auto"/>
        <w:rPr>
          <w:rFonts w:hint="eastAsia" w:ascii="仿宋" w:hAnsi="仿宋" w:eastAsia="仿宋" w:cs="仿宋"/>
          <w:color w:val="FF0000"/>
          <w:highlight w:val="none"/>
          <w:lang w:val="en-US" w:eastAsia="zh-CN"/>
        </w:rPr>
      </w:pPr>
      <w:r>
        <w:rPr>
          <w:rFonts w:hint="eastAsia" w:ascii="仿宋" w:hAnsi="仿宋" w:eastAsia="仿宋" w:cs="仿宋"/>
          <w:b/>
          <w:bCs/>
          <w:color w:val="000000" w:themeColor="text1"/>
          <w:highlight w:val="none"/>
          <w:lang w:val="en-US" w:eastAsia="zh-CN"/>
          <w14:textFill>
            <w14:solidFill>
              <w14:schemeClr w14:val="tx1"/>
            </w14:solidFill>
          </w14:textFill>
        </w:rPr>
        <w:t>统筹优化城乡空间布局</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ascii="仿宋" w:hAnsi="仿宋" w:eastAsia="仿宋" w:cs="仿宋"/>
          <w:color w:val="auto"/>
          <w:highlight w:val="none"/>
          <w:lang w:val="en-US" w:eastAsia="zh-CN"/>
        </w:rPr>
        <w:t>以主城功能疏解与乡村功能补位为抓手</w:t>
      </w:r>
      <w:r>
        <w:rPr>
          <w:rFonts w:hint="eastAsia" w:ascii="仿宋" w:hAnsi="仿宋" w:eastAsia="仿宋" w:cs="仿宋"/>
          <w:lang w:val="en-US" w:eastAsia="zh-CN"/>
        </w:rPr>
        <w:t>，推进新型城镇化与区域协调发展，构建“核心引领、轴线联动、组团协同”的城乡一体化空间格局。严格落实“三区三线”管控，刚性划定城乡建设空间边界，合理安排城乡建设用地布局，优化产业发展结构。将仓储物流、初级加工、一般性商贸配套等非核心功能，向九龙镇、苏陈镇等地区转移，提升主城核心区公共服务与人居品质，同时，为都市近郊地区预留产业、配套发展空间。推动乡村建设空间集聚，承载都市农业、近郊休闲、配套居住等主城溢出功能，形成“镇域统筹、村域联动”的组团式发展格局，避免乡村空间零散开发。在耕地总量不减少、永久基本农田布局基本稳定的前提下，探索以县域为统筹单元、以乡镇为</w:t>
      </w:r>
      <w:r>
        <w:rPr>
          <w:rFonts w:hint="eastAsia" w:ascii="仿宋" w:hAnsi="仿宋" w:eastAsia="仿宋" w:cs="仿宋"/>
          <w:highlight w:val="none"/>
          <w:lang w:val="en-US" w:eastAsia="zh-CN"/>
        </w:rPr>
        <w:t>基本实施单元的全域土地综合整治。</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E74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CCE1DE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cs="Times New Roman"/>
                <w:b/>
                <w:bCs/>
                <w:color w:val="auto"/>
                <w:sz w:val="21"/>
                <w:szCs w:val="21"/>
                <w:highlight w:val="none"/>
                <w:lang w:val="en-US" w:eastAsia="zh-CN"/>
              </w:rPr>
            </w:pPr>
            <w:r>
              <w:rPr>
                <w:rFonts w:hint="eastAsia"/>
                <w:b/>
                <w:bCs/>
                <w:color w:val="auto"/>
                <w:sz w:val="21"/>
                <w:szCs w:val="21"/>
                <w:highlight w:val="none"/>
                <w:lang w:val="en-US" w:eastAsia="zh-CN"/>
              </w:rPr>
              <w:t>专栏九</w:t>
            </w:r>
            <w:r>
              <w:rPr>
                <w:rFonts w:hint="eastAsia" w:ascii="Times New Roman" w:hAnsi="Times New Roman" w:cs="Times New Roman"/>
                <w:b/>
                <w:bCs/>
                <w:color w:val="auto"/>
                <w:sz w:val="21"/>
                <w:szCs w:val="21"/>
                <w:highlight w:val="none"/>
                <w:lang w:val="en-US" w:eastAsia="zh-CN"/>
              </w:rPr>
              <w:t>：统筹</w:t>
            </w:r>
            <w:r>
              <w:rPr>
                <w:rFonts w:hint="eastAsia" w:cs="Times New Roman"/>
                <w:b/>
                <w:bCs/>
                <w:color w:val="auto"/>
                <w:sz w:val="21"/>
                <w:szCs w:val="21"/>
                <w:highlight w:val="none"/>
                <w:lang w:val="en-US" w:eastAsia="zh-CN"/>
              </w:rPr>
              <w:t>优化</w:t>
            </w:r>
            <w:r>
              <w:rPr>
                <w:rFonts w:hint="eastAsia" w:ascii="Times New Roman" w:hAnsi="Times New Roman" w:cs="Times New Roman"/>
                <w:b/>
                <w:bCs/>
                <w:color w:val="auto"/>
                <w:sz w:val="21"/>
                <w:szCs w:val="21"/>
                <w:highlight w:val="none"/>
                <w:lang w:val="en-US" w:eastAsia="zh-CN"/>
              </w:rPr>
              <w:t>城乡空间布局</w:t>
            </w:r>
          </w:p>
          <w:p w14:paraId="7B1518FE">
            <w:pPr>
              <w:keepNext w:val="0"/>
              <w:keepLines w:val="0"/>
              <w:widowControl/>
              <w:numPr>
                <w:ilvl w:val="0"/>
                <w:numId w:val="0"/>
              </w:numPr>
              <w:suppressLineNumbers w:val="0"/>
              <w:ind w:firstLine="440" w:firstLineChars="200"/>
              <w:jc w:val="left"/>
              <w:rPr>
                <w:rFonts w:hint="default" w:ascii="Times New Roman" w:hAnsi="Times New Roman" w:eastAsia="仿宋" w:cs="Times New Roman"/>
                <w:b w:val="0"/>
                <w:bCs w:val="0"/>
                <w:i w:val="0"/>
                <w:iCs w:val="0"/>
                <w:caps w:val="0"/>
                <w:color w:val="auto"/>
                <w:spacing w:val="0"/>
                <w:kern w:val="2"/>
                <w:sz w:val="22"/>
                <w:szCs w:val="18"/>
                <w:highlight w:val="none"/>
                <w:shd w:val="clear"/>
                <w:lang w:val="en-US" w:eastAsia="zh-CN" w:bidi="ar"/>
              </w:rPr>
            </w:pPr>
            <w:r>
              <w:rPr>
                <w:rFonts w:hint="eastAsia" w:cs="Times New Roman"/>
                <w:b w:val="0"/>
                <w:bCs w:val="0"/>
                <w:i w:val="0"/>
                <w:iCs w:val="0"/>
                <w:caps w:val="0"/>
                <w:color w:val="auto"/>
                <w:spacing w:val="0"/>
                <w:kern w:val="2"/>
                <w:sz w:val="22"/>
                <w:szCs w:val="18"/>
                <w:highlight w:val="none"/>
                <w:shd w:val="clear"/>
                <w:lang w:val="en-US" w:eastAsia="zh-CN" w:bidi="ar"/>
              </w:rPr>
              <w:t>在海陵区国土空间分区规划指引下，通过推进村庄规划编制实施、探索全域土地综合整治，统筹乡村生产、生活、生态空间布局，促进城乡区域协调发展</w:t>
            </w:r>
            <w:r>
              <w:rPr>
                <w:rFonts w:hint="eastAsia" w:ascii="Times New Roman" w:hAnsi="Times New Roman" w:cs="Times New Roman"/>
                <w:b w:val="0"/>
                <w:bCs w:val="0"/>
                <w:i w:val="0"/>
                <w:iCs w:val="0"/>
                <w:caps w:val="0"/>
                <w:color w:val="auto"/>
                <w:spacing w:val="0"/>
                <w:kern w:val="2"/>
                <w:sz w:val="22"/>
                <w:szCs w:val="18"/>
                <w:highlight w:val="none"/>
                <w:shd w:val="clear"/>
                <w:lang w:val="en-US" w:eastAsia="zh-CN" w:bidi="ar"/>
              </w:rPr>
              <w:t>。</w:t>
            </w:r>
          </w:p>
          <w:p w14:paraId="71930AD7">
            <w:pPr>
              <w:keepNext w:val="0"/>
              <w:keepLines w:val="0"/>
              <w:widowControl/>
              <w:numPr>
                <w:ilvl w:val="0"/>
                <w:numId w:val="0"/>
              </w:numPr>
              <w:suppressLineNumbers w:val="0"/>
              <w:ind w:firstLine="442" w:firstLineChars="200"/>
              <w:jc w:val="left"/>
              <w:rPr>
                <w:rFonts w:hint="eastAsia" w:cs="Times New Roman"/>
                <w:b w:val="0"/>
                <w:bCs w:val="0"/>
                <w:i w:val="0"/>
                <w:iCs w:val="0"/>
                <w:caps w:val="0"/>
                <w:color w:val="auto"/>
                <w:spacing w:val="0"/>
                <w:sz w:val="22"/>
                <w:szCs w:val="18"/>
                <w:highlight w:val="none"/>
                <w:shd w:val="clear"/>
                <w:lang w:eastAsia="zh-CN" w:bidi="ar"/>
              </w:rPr>
            </w:pPr>
            <w:r>
              <w:rPr>
                <w:rFonts w:hint="eastAsia" w:ascii="Times New Roman" w:hAnsi="Times New Roman" w:eastAsia="仿宋" w:cs="Times New Roman"/>
                <w:b/>
                <w:bCs/>
                <w:i w:val="0"/>
                <w:iCs w:val="0"/>
                <w:caps w:val="0"/>
                <w:color w:val="auto"/>
                <w:spacing w:val="0"/>
                <w:kern w:val="2"/>
                <w:sz w:val="22"/>
                <w:szCs w:val="18"/>
                <w:highlight w:val="none"/>
                <w:shd w:val="clear"/>
                <w:lang w:val="en-US" w:eastAsia="zh-CN" w:bidi="ar"/>
              </w:rPr>
              <w:t>1.</w:t>
            </w:r>
            <w:r>
              <w:rPr>
                <w:rFonts w:hint="eastAsia" w:cs="Times New Roman"/>
                <w:b/>
                <w:bCs/>
                <w:i w:val="0"/>
                <w:iCs w:val="0"/>
                <w:caps w:val="0"/>
                <w:color w:val="auto"/>
                <w:spacing w:val="0"/>
                <w:kern w:val="2"/>
                <w:sz w:val="22"/>
                <w:szCs w:val="18"/>
                <w:highlight w:val="none"/>
                <w:shd w:val="clear"/>
                <w:lang w:val="en-US" w:eastAsia="zh-CN" w:bidi="ar"/>
              </w:rPr>
              <w:t>探索</w:t>
            </w:r>
            <w:r>
              <w:rPr>
                <w:rFonts w:hint="eastAsia" w:ascii="Times New Roman" w:hAnsi="Times New Roman" w:eastAsia="仿宋" w:cs="Times New Roman"/>
                <w:b/>
                <w:bCs/>
                <w:i w:val="0"/>
                <w:iCs w:val="0"/>
                <w:caps w:val="0"/>
                <w:color w:val="auto"/>
                <w:spacing w:val="0"/>
                <w:kern w:val="2"/>
                <w:sz w:val="22"/>
                <w:szCs w:val="18"/>
                <w:highlight w:val="none"/>
                <w:shd w:val="clear"/>
                <w:lang w:val="en-US" w:eastAsia="zh-CN" w:bidi="ar"/>
              </w:rPr>
              <w:t>全域土地综合整治</w:t>
            </w:r>
            <w:r>
              <w:rPr>
                <w:rFonts w:hint="eastAsia" w:cs="Times New Roman"/>
                <w:b/>
                <w:bCs/>
                <w:i w:val="0"/>
                <w:iCs w:val="0"/>
                <w:caps w:val="0"/>
                <w:color w:val="auto"/>
                <w:spacing w:val="0"/>
                <w:sz w:val="22"/>
                <w:szCs w:val="18"/>
                <w:highlight w:val="none"/>
                <w:shd w:val="clear"/>
                <w:lang w:eastAsia="zh-CN" w:bidi="ar"/>
              </w:rPr>
              <w:t>。</w:t>
            </w:r>
            <w:r>
              <w:rPr>
                <w:rFonts w:hint="eastAsia" w:cs="Times New Roman"/>
                <w:b w:val="0"/>
                <w:bCs w:val="0"/>
                <w:i w:val="0"/>
                <w:iCs w:val="0"/>
                <w:caps w:val="0"/>
                <w:color w:val="auto"/>
                <w:spacing w:val="0"/>
                <w:sz w:val="22"/>
                <w:szCs w:val="18"/>
                <w:highlight w:val="none"/>
                <w:shd w:val="clear"/>
                <w:lang w:eastAsia="zh-CN" w:bidi="ar"/>
              </w:rPr>
              <w:t>研究出台《海陵区耕地保护激励暂行办法》《海陵区补充耕地指标管理办法（试行）》等一系列文件，落实耕地保护责任，加大资金保障和土地综合整治力度。坚持耕地数量、质量、生态“三位一体”保护，充分调动各类主体保护耕地积极性，全力推进土地整治项目、高标准农田开展，并同步实施耕地“占补平衡”，切实守牢粮食安全底线。落实盘活农村存量建设用地政策，加</w:t>
            </w:r>
            <w:r>
              <w:rPr>
                <w:rFonts w:hint="eastAsia" w:cs="Times New Roman"/>
                <w:b w:val="0"/>
                <w:bCs w:val="0"/>
                <w:i w:val="0"/>
                <w:iCs w:val="0"/>
                <w:caps w:val="0"/>
                <w:color w:val="auto"/>
                <w:spacing w:val="0"/>
                <w:sz w:val="22"/>
                <w:szCs w:val="18"/>
                <w:highlight w:val="none"/>
                <w:shd w:val="clear"/>
                <w:lang w:val="en-US" w:eastAsia="zh-CN" w:bidi="ar"/>
              </w:rPr>
              <w:t>大</w:t>
            </w:r>
            <w:r>
              <w:rPr>
                <w:rFonts w:hint="eastAsia" w:cs="Times New Roman"/>
                <w:b w:val="0"/>
                <w:bCs w:val="0"/>
                <w:i w:val="0"/>
                <w:iCs w:val="0"/>
                <w:caps w:val="0"/>
                <w:color w:val="auto"/>
                <w:spacing w:val="0"/>
                <w:sz w:val="22"/>
                <w:szCs w:val="18"/>
                <w:highlight w:val="none"/>
                <w:shd w:val="clear"/>
                <w:lang w:eastAsia="zh-CN" w:bidi="ar"/>
              </w:rPr>
              <w:t>土地综合整治力度，深挖耕地后备资源潜力，开展占补平衡和增减挂钩工作，增加村集体经济收入，改善乡村整体风貌，提升人居环境。</w:t>
            </w:r>
          </w:p>
          <w:p w14:paraId="7883C950">
            <w:pPr>
              <w:keepNext w:val="0"/>
              <w:keepLines w:val="0"/>
              <w:widowControl/>
              <w:numPr>
                <w:ilvl w:val="0"/>
                <w:numId w:val="0"/>
              </w:numPr>
              <w:suppressLineNumbers w:val="0"/>
              <w:ind w:firstLine="442" w:firstLineChars="200"/>
              <w:jc w:val="left"/>
              <w:rPr>
                <w:rFonts w:hint="eastAsia"/>
                <w:highlight w:val="none"/>
                <w:lang w:val="en-US" w:eastAsia="zh-CN"/>
              </w:rPr>
            </w:pPr>
            <w:r>
              <w:rPr>
                <w:rFonts w:hint="eastAsia" w:ascii="Times New Roman" w:hAnsi="Times New Roman" w:eastAsia="仿宋" w:cs="Times New Roman"/>
                <w:b/>
                <w:bCs/>
                <w:i w:val="0"/>
                <w:iCs w:val="0"/>
                <w:caps w:val="0"/>
                <w:color w:val="auto"/>
                <w:spacing w:val="0"/>
                <w:kern w:val="2"/>
                <w:sz w:val="22"/>
                <w:szCs w:val="18"/>
                <w:highlight w:val="none"/>
                <w:shd w:val="clear"/>
                <w:lang w:val="en-US" w:eastAsia="zh-CN" w:bidi="ar"/>
              </w:rPr>
              <w:t>2.扎实推进村庄规划编制实施。</w:t>
            </w:r>
            <w:r>
              <w:rPr>
                <w:rFonts w:hint="eastAsia" w:ascii="Times New Roman" w:hAnsi="Times New Roman" w:eastAsia="仿宋" w:cs="Times New Roman"/>
                <w:b w:val="0"/>
                <w:bCs w:val="0"/>
                <w:i w:val="0"/>
                <w:iCs w:val="0"/>
                <w:caps w:val="0"/>
                <w:color w:val="auto"/>
                <w:spacing w:val="0"/>
                <w:kern w:val="2"/>
                <w:sz w:val="22"/>
                <w:szCs w:val="18"/>
                <w:highlight w:val="none"/>
                <w:shd w:val="clear"/>
                <w:lang w:val="en-US" w:eastAsia="zh-CN" w:bidi="ar"/>
              </w:rPr>
              <w:t>根据需求编制“多规合一”实用性村庄规划，成立</w:t>
            </w:r>
            <w:r>
              <w:rPr>
                <w:rFonts w:hint="eastAsia" w:ascii="Times New Roman" w:hAnsi="Times New Roman" w:eastAsia="仿宋" w:cs="Times New Roman"/>
                <w:i w:val="0"/>
                <w:iCs w:val="0"/>
                <w:caps w:val="0"/>
                <w:color w:val="auto"/>
                <w:spacing w:val="0"/>
                <w:kern w:val="2"/>
                <w:sz w:val="22"/>
                <w:szCs w:val="18"/>
                <w:highlight w:val="none"/>
                <w:shd w:val="clear"/>
                <w:lang w:val="en-US" w:eastAsia="zh-CN" w:bidi="ar"/>
              </w:rPr>
              <w:t>“多规合一”工作专班，统筹村庄布局与耕地保护，推动“多规合一”实用性村庄规划全覆盖，避免“千村一面”。完成城镇开发边界外所有规划发展村庄的规划编制，加强规划发展村庄规划设计，助力特定区域宜居宜业和美乡村建设，保护传承乡村风貌和历史文化，统筹农业、生态、城镇空间，确保各类管控线不交叉、不冲突。整合利用各类规划数据，建立全区统一的国土空间基础信息平台，实现动态更新与管理。将历史文化保护与生态本底融入规划，划定文化保护专篇和生态修复专项。实现规划从“碎片化”向“一体化”转型，支撑高质量发展与高品质城乡建设。</w:t>
            </w:r>
          </w:p>
        </w:tc>
      </w:tr>
    </w:tbl>
    <w:p w14:paraId="120AD7A6">
      <w:pPr>
        <w:rPr>
          <w:rFonts w:hint="default"/>
          <w:b w:val="0"/>
          <w:bCs w:val="0"/>
          <w:color w:val="auto"/>
          <w:lang w:val="en-US" w:eastAsia="zh-CN"/>
        </w:rPr>
      </w:pPr>
      <w:r>
        <w:rPr>
          <w:rFonts w:hint="eastAsia"/>
          <w:b/>
          <w:bCs/>
          <w:color w:val="auto"/>
          <w:highlight w:val="none"/>
          <w:lang w:val="en-US" w:eastAsia="zh-CN"/>
        </w:rPr>
        <w:t>推进城乡基本公共服务均等化</w:t>
      </w:r>
      <w:r>
        <w:rPr>
          <w:rFonts w:hint="eastAsia"/>
          <w:b/>
          <w:bCs/>
          <w:color w:val="auto"/>
          <w:highlight w:val="none"/>
          <w:lang w:eastAsia="zh-CN"/>
        </w:rPr>
        <w:t>。</w:t>
      </w:r>
      <w:r>
        <w:rPr>
          <w:rFonts w:hint="eastAsia"/>
          <w:b w:val="0"/>
          <w:bCs w:val="0"/>
          <w:color w:val="auto"/>
          <w:highlight w:val="none"/>
          <w:lang w:val="en-US" w:eastAsia="zh-CN"/>
        </w:rPr>
        <w:t>推动</w:t>
      </w:r>
      <w:r>
        <w:rPr>
          <w:rFonts w:hint="eastAsia"/>
          <w:b w:val="0"/>
          <w:bCs w:val="0"/>
          <w:color w:val="auto"/>
          <w:highlight w:val="none"/>
          <w:lang w:eastAsia="zh-CN"/>
        </w:rPr>
        <w:t>城市优质教育、医疗、</w:t>
      </w:r>
      <w:r>
        <w:rPr>
          <w:rFonts w:hint="eastAsia"/>
          <w:b w:val="0"/>
          <w:bCs w:val="0"/>
          <w:color w:val="auto"/>
          <w:highlight w:val="none"/>
          <w:lang w:val="en-US" w:eastAsia="zh-CN"/>
        </w:rPr>
        <w:t>养老</w:t>
      </w:r>
      <w:r>
        <w:rPr>
          <w:rFonts w:hint="eastAsia"/>
          <w:b w:val="0"/>
          <w:bCs w:val="0"/>
          <w:color w:val="auto"/>
          <w:highlight w:val="none"/>
          <w:lang w:eastAsia="zh-CN"/>
        </w:rPr>
        <w:t>等资源向乡村辐射延伸，推动公共服务从“有没有”向“好不好”转变。</w:t>
      </w:r>
      <w:r>
        <w:rPr>
          <w:rFonts w:hint="eastAsia"/>
          <w:b w:val="0"/>
          <w:bCs w:val="0"/>
          <w:color w:val="auto"/>
          <w:highlight w:val="none"/>
          <w:lang w:val="en-US" w:eastAsia="zh-CN"/>
        </w:rPr>
        <w:t>持续</w:t>
      </w:r>
      <w:r>
        <w:rPr>
          <w:rFonts w:hint="eastAsia"/>
          <w:b w:val="0"/>
          <w:bCs w:val="0"/>
          <w:color w:val="auto"/>
          <w:highlight w:val="none"/>
          <w:lang w:eastAsia="zh-CN"/>
        </w:rPr>
        <w:t>深化“幸福教育”改革，推行“城区名校+农村学校”的紧密型教育集团模式，推进“区管校聘”改革，</w:t>
      </w:r>
      <w:r>
        <w:rPr>
          <w:rFonts w:hint="eastAsia"/>
          <w:b w:val="0"/>
          <w:bCs w:val="0"/>
          <w:color w:val="auto"/>
          <w:highlight w:val="none"/>
          <w:lang w:val="en-US" w:eastAsia="zh-CN"/>
        </w:rPr>
        <w:t>健全</w:t>
      </w:r>
      <w:r>
        <w:rPr>
          <w:rFonts w:hint="eastAsia"/>
          <w:b w:val="0"/>
          <w:bCs w:val="0"/>
          <w:color w:val="auto"/>
          <w:highlight w:val="none"/>
          <w:lang w:eastAsia="zh-CN"/>
        </w:rPr>
        <w:t>城乡教师双向</w:t>
      </w:r>
      <w:r>
        <w:rPr>
          <w:rFonts w:hint="eastAsia"/>
          <w:b w:val="0"/>
          <w:bCs w:val="0"/>
          <w:color w:val="auto"/>
          <w:highlight w:val="none"/>
          <w:lang w:val="en-US" w:eastAsia="zh-CN"/>
        </w:rPr>
        <w:t>交流机制</w:t>
      </w:r>
      <w:r>
        <w:rPr>
          <w:rFonts w:hint="eastAsia"/>
          <w:b w:val="0"/>
          <w:bCs w:val="0"/>
          <w:color w:val="auto"/>
          <w:highlight w:val="none"/>
          <w:lang w:eastAsia="zh-CN"/>
        </w:rPr>
        <w:t>流动，全区义务教育阶段多种形式集团化办学学校覆盖率达到100%。纵深推进“健康海陵”改革，</w:t>
      </w:r>
      <w:r>
        <w:rPr>
          <w:rFonts w:hint="eastAsia"/>
          <w:b w:val="0"/>
          <w:bCs w:val="0"/>
          <w:color w:val="auto"/>
          <w:highlight w:val="none"/>
          <w:lang w:val="en-US" w:eastAsia="zh-CN"/>
        </w:rPr>
        <w:t>加快建设</w:t>
      </w:r>
      <w:r>
        <w:rPr>
          <w:rFonts w:hint="eastAsia"/>
          <w:b w:val="0"/>
          <w:bCs w:val="0"/>
          <w:color w:val="auto"/>
          <w:highlight w:val="none"/>
          <w:lang w:eastAsia="zh-CN"/>
        </w:rPr>
        <w:t>分级诊疗体系，</w:t>
      </w:r>
      <w:r>
        <w:rPr>
          <w:rFonts w:hint="eastAsia"/>
          <w:b w:val="0"/>
          <w:bCs w:val="0"/>
          <w:color w:val="auto"/>
          <w:highlight w:val="none"/>
          <w:lang w:val="en-US" w:eastAsia="zh-CN"/>
        </w:rPr>
        <w:t>推动主城三甲医院与农村卫生院建设</w:t>
      </w:r>
      <w:r>
        <w:rPr>
          <w:rFonts w:hint="eastAsia"/>
          <w:b w:val="0"/>
          <w:bCs w:val="0"/>
          <w:color w:val="auto"/>
          <w:highlight w:val="none"/>
          <w:lang w:eastAsia="zh-CN"/>
        </w:rPr>
        <w:t>紧密型医</w:t>
      </w:r>
      <w:r>
        <w:rPr>
          <w:rFonts w:hint="eastAsia"/>
          <w:b w:val="0"/>
          <w:bCs w:val="0"/>
          <w:color w:val="auto"/>
          <w:highlight w:val="none"/>
          <w:lang w:val="en-US" w:eastAsia="zh-CN"/>
        </w:rPr>
        <w:t>共</w:t>
      </w:r>
      <w:r>
        <w:rPr>
          <w:rFonts w:hint="eastAsia"/>
          <w:b w:val="0"/>
          <w:bCs w:val="0"/>
          <w:color w:val="auto"/>
          <w:highlight w:val="none"/>
          <w:lang w:eastAsia="zh-CN"/>
        </w:rPr>
        <w:t>体，</w:t>
      </w:r>
      <w:r>
        <w:rPr>
          <w:rFonts w:hint="eastAsia"/>
          <w:b w:val="0"/>
          <w:bCs w:val="0"/>
          <w:color w:val="auto"/>
          <w:highlight w:val="none"/>
          <w:lang w:val="en-US" w:eastAsia="zh-CN"/>
        </w:rPr>
        <w:t>健全</w:t>
      </w:r>
      <w:r>
        <w:rPr>
          <w:rFonts w:hint="eastAsia"/>
          <w:b w:val="0"/>
          <w:bCs w:val="0"/>
          <w:color w:val="auto"/>
          <w:highlight w:val="none"/>
          <w:lang w:eastAsia="zh-CN"/>
        </w:rPr>
        <w:t>城乡医疗数据共享平台，开展家庭医生签约服务提质行动。加强“一老一幼”服务供给，新建提升一批综合性养老服务中心、居家养老服务中心、社区助餐点，有序</w:t>
      </w:r>
      <w:r>
        <w:rPr>
          <w:rFonts w:hint="eastAsia"/>
          <w:b w:val="0"/>
          <w:bCs w:val="0"/>
          <w:color w:val="auto"/>
          <w:highlight w:val="none"/>
          <w:lang w:val="en-US" w:eastAsia="zh-CN"/>
        </w:rPr>
        <w:t>推进</w:t>
      </w:r>
      <w:r>
        <w:rPr>
          <w:rFonts w:hint="eastAsia"/>
          <w:b w:val="0"/>
          <w:bCs w:val="0"/>
          <w:color w:val="auto"/>
          <w:highlight w:val="none"/>
          <w:lang w:eastAsia="zh-CN"/>
        </w:rPr>
        <w:t>农村老年人居家适老化改造工作，支持托育服务高质量发展。</w:t>
      </w:r>
    </w:p>
    <w:p w14:paraId="6E5D0850">
      <w:pPr>
        <w:pStyle w:val="2"/>
        <w:keepNext w:val="0"/>
        <w:keepLines w:val="0"/>
        <w:pageBreakBefore w:val="0"/>
        <w:widowControl/>
        <w:kinsoku/>
        <w:wordWrap/>
        <w:overflowPunct/>
        <w:topLinePunct w:val="0"/>
        <w:autoSpaceDE/>
        <w:autoSpaceDN/>
        <w:bidi w:val="0"/>
        <w:adjustRightInd/>
        <w:snapToGrid/>
        <w:spacing w:line="360" w:lineRule="auto"/>
        <w:ind w:firstLine="643"/>
        <w:textAlignment w:val="auto"/>
        <w:rPr>
          <w:rFonts w:hint="default" w:ascii="Times New Roman" w:hAnsi="Times New Roman" w:eastAsia="仿宋" w:cs="Times New Roman"/>
          <w:b w:val="0"/>
          <w:bCs w:val="0"/>
          <w:color w:val="auto"/>
          <w:kern w:val="2"/>
          <w:sz w:val="32"/>
          <w:szCs w:val="22"/>
          <w:highlight w:val="none"/>
          <w:lang w:val="en-US" w:eastAsia="zh-CN" w:bidi="ar-SA"/>
        </w:rPr>
      </w:pPr>
      <w:r>
        <w:rPr>
          <w:rFonts w:hint="eastAsia" w:ascii="Times New Roman" w:hAnsi="Times New Roman" w:eastAsia="仿宋" w:cs="Times New Roman"/>
          <w:b/>
          <w:bCs/>
          <w:color w:val="auto"/>
          <w:kern w:val="2"/>
          <w:sz w:val="32"/>
          <w:szCs w:val="22"/>
          <w:highlight w:val="none"/>
          <w:lang w:val="en-US" w:eastAsia="zh-CN" w:bidi="ar-SA"/>
        </w:rPr>
        <w:t>加快农业转移人口市民化。</w:t>
      </w:r>
      <w:r>
        <w:rPr>
          <w:rFonts w:hint="eastAsia" w:eastAsia="仿宋" w:cs="Times New Roman"/>
          <w:b w:val="0"/>
          <w:bCs w:val="0"/>
          <w:color w:val="auto"/>
          <w:kern w:val="2"/>
          <w:sz w:val="32"/>
          <w:szCs w:val="22"/>
          <w:highlight w:val="none"/>
          <w:lang w:val="en-US" w:eastAsia="zh-CN" w:bidi="ar-SA"/>
        </w:rPr>
        <w:t>依托主城资源辐射，优先推进城郊农业转移人口“就近市民化”，</w:t>
      </w:r>
      <w:r>
        <w:rPr>
          <w:rFonts w:hint="eastAsia" w:eastAsia="仿宋"/>
          <w:bCs w:val="0"/>
          <w:color w:val="auto"/>
          <w:szCs w:val="22"/>
          <w:highlight w:val="none"/>
        </w:rPr>
        <w:t>取消农业转移人口落户限制，实行“租房可</w:t>
      </w:r>
      <w:r>
        <w:rPr>
          <w:rFonts w:hint="eastAsia" w:eastAsia="仿宋"/>
          <w:bCs w:val="0"/>
          <w:color w:val="auto"/>
          <w:szCs w:val="22"/>
        </w:rPr>
        <w:t>落、就业可落、投靠可落”</w:t>
      </w:r>
      <w:r>
        <w:rPr>
          <w:rFonts w:hint="eastAsia" w:eastAsia="仿宋"/>
          <w:bCs w:val="0"/>
          <w:color w:val="auto"/>
          <w:szCs w:val="22"/>
          <w:highlight w:val="none"/>
          <w:lang w:eastAsia="zh-CN"/>
        </w:rPr>
        <w:t>，依法维护进城落户农民土地承包权、宅基地使用权、集体收益分配权，探索建立自愿有偿退出的办法。</w:t>
      </w:r>
      <w:r>
        <w:rPr>
          <w:rFonts w:hint="eastAsia" w:ascii="Times New Roman" w:hAnsi="Times New Roman" w:eastAsia="仿宋" w:cs="Times New Roman"/>
          <w:b w:val="0"/>
          <w:bCs w:val="0"/>
          <w:color w:val="auto"/>
          <w:kern w:val="2"/>
          <w:sz w:val="32"/>
          <w:szCs w:val="22"/>
          <w:highlight w:val="none"/>
          <w:lang w:val="en-US" w:eastAsia="zh-CN" w:bidi="ar-SA"/>
        </w:rPr>
        <w:t>健全农业转移人口市民化配套政策体系，推行由常住地登记户口提供基本公共服务制度，推动符合条件的农业转移人口社会保险、住房保障、随迁子女义务教育等享有同迁入地户籍人口同等权利，着力解决进城落户人口参加职工基本养老保险和医疗保险的问题</w:t>
      </w:r>
      <w:r>
        <w:rPr>
          <w:rFonts w:hint="eastAsia" w:eastAsia="仿宋" w:cs="Times New Roman"/>
          <w:b w:val="0"/>
          <w:bCs w:val="0"/>
          <w:color w:val="auto"/>
          <w:kern w:val="2"/>
          <w:sz w:val="32"/>
          <w:szCs w:val="22"/>
          <w:highlight w:val="none"/>
          <w:lang w:val="en-US" w:eastAsia="zh-CN" w:bidi="ar-SA"/>
        </w:rPr>
        <w:t>。</w:t>
      </w:r>
      <w:r>
        <w:rPr>
          <w:rFonts w:hint="eastAsia" w:eastAsia="仿宋" w:cs="Times New Roman"/>
          <w:b w:val="0"/>
          <w:bCs w:val="0"/>
          <w:color w:val="auto"/>
          <w:kern w:val="2"/>
          <w:sz w:val="32"/>
          <w:szCs w:val="22"/>
          <w:lang w:val="en-US" w:eastAsia="zh-CN" w:bidi="ar-SA"/>
        </w:rPr>
        <w:t>聚焦</w:t>
      </w:r>
      <w:r>
        <w:rPr>
          <w:rFonts w:hint="eastAsia" w:eastAsia="仿宋"/>
          <w:bCs w:val="0"/>
          <w:color w:val="auto"/>
          <w:szCs w:val="22"/>
          <w:highlight w:val="none"/>
          <w:lang w:val="en-US" w:eastAsia="zh-CN"/>
        </w:rPr>
        <w:t>农业转移人口、下岗失业人员及新就业形态劳动者，</w:t>
      </w:r>
      <w:r>
        <w:rPr>
          <w:rFonts w:hint="eastAsia" w:eastAsia="仿宋"/>
          <w:bCs w:val="0"/>
          <w:color w:val="auto"/>
          <w:sz w:val="32"/>
          <w:szCs w:val="22"/>
          <w:lang w:val="en-US" w:eastAsia="zh-CN"/>
        </w:rPr>
        <w:t>围绕</w:t>
      </w:r>
      <w:r>
        <w:rPr>
          <w:rFonts w:hint="eastAsia" w:eastAsia="仿宋"/>
          <w:bCs w:val="0"/>
          <w:color w:val="auto"/>
          <w:sz w:val="32"/>
          <w:szCs w:val="22"/>
          <w:lang w:eastAsia="zh-CN"/>
        </w:rPr>
        <w:t>主城先进制造、现代服务、</w:t>
      </w:r>
      <w:r>
        <w:rPr>
          <w:rFonts w:hint="eastAsia" w:eastAsia="仿宋"/>
          <w:bCs w:val="0"/>
          <w:color w:val="auto"/>
          <w:sz w:val="32"/>
          <w:szCs w:val="22"/>
          <w:lang w:val="en-US" w:eastAsia="zh-CN"/>
        </w:rPr>
        <w:t>康养托育等</w:t>
      </w:r>
      <w:r>
        <w:rPr>
          <w:rFonts w:hint="eastAsia" w:eastAsia="仿宋"/>
          <w:bCs w:val="0"/>
          <w:color w:val="auto"/>
          <w:sz w:val="32"/>
          <w:szCs w:val="22"/>
          <w:lang w:eastAsia="zh-CN"/>
        </w:rPr>
        <w:t>产业需求，</w:t>
      </w:r>
      <w:r>
        <w:rPr>
          <w:rFonts w:hint="eastAsia" w:eastAsia="仿宋"/>
          <w:bCs w:val="0"/>
          <w:color w:val="auto"/>
          <w:szCs w:val="22"/>
          <w:highlight w:val="none"/>
          <w:lang w:eastAsia="zh-CN"/>
        </w:rPr>
        <w:t>开展订单式、定向式职业技能培训，提升其适应产业转型升级和城市生活的能力。</w:t>
      </w:r>
      <w:r>
        <w:rPr>
          <w:rFonts w:hint="eastAsia" w:eastAsia="仿宋"/>
          <w:bCs w:val="0"/>
          <w:color w:val="auto"/>
          <w:szCs w:val="22"/>
          <w:highlight w:val="none"/>
          <w:lang w:val="en-US" w:eastAsia="zh-CN"/>
        </w:rPr>
        <w:t>到2030年，农村基本公共服务均等化实现程度超过95%。</w:t>
      </w:r>
    </w:p>
    <w:p w14:paraId="4685C75F">
      <w:pPr>
        <w:widowControl/>
        <w:bidi w:val="0"/>
        <w:rPr>
          <w:rFonts w:hint="eastAsia" w:cs="Times New Roman"/>
          <w:b w:val="0"/>
          <w:bCs w:val="0"/>
          <w:color w:val="auto"/>
          <w:sz w:val="32"/>
          <w:szCs w:val="32"/>
          <w:lang w:val="en-US" w:eastAsia="zh-CN"/>
        </w:rPr>
      </w:pPr>
      <w:r>
        <w:rPr>
          <w:rFonts w:hint="eastAsia" w:cs="Times New Roman"/>
          <w:b/>
          <w:bCs/>
          <w:color w:val="auto"/>
          <w:highlight w:val="none"/>
          <w:lang w:val="en-US" w:eastAsia="zh-CN"/>
        </w:rPr>
        <w:t>促进</w:t>
      </w:r>
      <w:r>
        <w:rPr>
          <w:rFonts w:hint="eastAsia" w:ascii="Times New Roman" w:hAnsi="Times New Roman" w:cs="Times New Roman"/>
          <w:b/>
          <w:bCs/>
          <w:color w:val="auto"/>
          <w:highlight w:val="none"/>
          <w:lang w:val="en-US" w:eastAsia="zh-CN"/>
        </w:rPr>
        <w:t>城乡要素双</w:t>
      </w:r>
      <w:r>
        <w:rPr>
          <w:rFonts w:hint="default" w:ascii="Times New Roman" w:hAnsi="Times New Roman" w:cs="Times New Roman"/>
          <w:b/>
          <w:bCs/>
          <w:color w:val="auto"/>
          <w:highlight w:val="none"/>
          <w:lang w:val="en-US" w:eastAsia="zh-CN"/>
        </w:rPr>
        <w:t>向流</w:t>
      </w:r>
      <w:r>
        <w:rPr>
          <w:rFonts w:hint="eastAsia" w:ascii="Times New Roman" w:hAnsi="Times New Roman" w:cs="Times New Roman"/>
          <w:b/>
          <w:bCs/>
          <w:color w:val="auto"/>
          <w:highlight w:val="none"/>
          <w:lang w:val="en-US" w:eastAsia="zh-CN"/>
        </w:rPr>
        <w:t>动。</w:t>
      </w:r>
      <w:r>
        <w:rPr>
          <w:rFonts w:hint="eastAsia" w:ascii="Times New Roman" w:hAnsi="Times New Roman" w:cs="Times New Roman"/>
          <w:b w:val="0"/>
          <w:bCs w:val="0"/>
          <w:color w:val="auto"/>
          <w:lang w:val="en-US" w:eastAsia="zh-CN"/>
        </w:rPr>
        <w:t>以“主城</w:t>
      </w:r>
      <w:r>
        <w:rPr>
          <w:rFonts w:hint="eastAsia" w:cs="Times New Roman"/>
          <w:b w:val="0"/>
          <w:bCs w:val="0"/>
          <w:color w:val="auto"/>
          <w:lang w:val="en-US" w:eastAsia="zh-CN"/>
        </w:rPr>
        <w:t>核心</w:t>
      </w:r>
      <w:r>
        <w:rPr>
          <w:rFonts w:hint="eastAsia" w:ascii="Times New Roman" w:hAnsi="Times New Roman" w:cs="Times New Roman"/>
          <w:b w:val="0"/>
          <w:bCs w:val="0"/>
          <w:color w:val="auto"/>
          <w:lang w:val="en-US" w:eastAsia="zh-CN"/>
        </w:rPr>
        <w:t>、</w:t>
      </w:r>
      <w:r>
        <w:rPr>
          <w:rFonts w:hint="eastAsia" w:cs="Times New Roman"/>
          <w:b w:val="0"/>
          <w:bCs w:val="0"/>
          <w:color w:val="auto"/>
          <w:lang w:val="en-US" w:eastAsia="zh-CN"/>
        </w:rPr>
        <w:t>城乡一体</w:t>
      </w:r>
      <w:r>
        <w:rPr>
          <w:rFonts w:hint="eastAsia" w:ascii="Times New Roman" w:hAnsi="Times New Roman" w:cs="Times New Roman"/>
          <w:b w:val="0"/>
          <w:bCs w:val="0"/>
          <w:color w:val="auto"/>
          <w:lang w:val="en-US" w:eastAsia="zh-CN"/>
        </w:rPr>
        <w:t>”为导向，构建“城市要素下乡赋能、乡村要素进城增值”的双向流动</w:t>
      </w:r>
      <w:r>
        <w:rPr>
          <w:rFonts w:hint="eastAsia" w:cs="Times New Roman"/>
          <w:b w:val="0"/>
          <w:bCs w:val="0"/>
          <w:color w:val="auto"/>
          <w:lang w:val="en-US" w:eastAsia="zh-CN"/>
        </w:rPr>
        <w:t>机制</w:t>
      </w:r>
      <w:r>
        <w:rPr>
          <w:rFonts w:hint="eastAsia" w:ascii="Times New Roman" w:hAnsi="Times New Roman" w:cs="Times New Roman"/>
          <w:b w:val="0"/>
          <w:bCs w:val="0"/>
          <w:color w:val="auto"/>
          <w:lang w:val="en-US" w:eastAsia="zh-CN"/>
        </w:rPr>
        <w:t>，</w:t>
      </w:r>
      <w:r>
        <w:rPr>
          <w:rFonts w:hint="eastAsia" w:cs="Times New Roman"/>
          <w:b w:val="0"/>
          <w:bCs w:val="0"/>
          <w:color w:val="auto"/>
          <w:lang w:val="en-US" w:eastAsia="zh-CN"/>
        </w:rPr>
        <w:t>破解人才流失、土地碎片化、资本下乡难等突出问题。</w:t>
      </w:r>
      <w:r>
        <w:rPr>
          <w:rFonts w:hint="eastAsia" w:ascii="Times New Roman" w:hAnsi="Times New Roman" w:cs="Times New Roman"/>
          <w:b w:val="0"/>
          <w:bCs w:val="0"/>
          <w:color w:val="auto"/>
          <w:lang w:val="en-US" w:eastAsia="zh-CN"/>
        </w:rPr>
        <w:t>有序推进农业转移人口市民化，全面深化以放宽落户限制为核心的户籍制度改革，同时激励各类人才下乡服务和创业就业，引导城市居民下乡消费和养老</w:t>
      </w:r>
      <w:r>
        <w:rPr>
          <w:rFonts w:hint="eastAsia" w:cs="Times New Roman"/>
          <w:b w:val="0"/>
          <w:bCs w:val="0"/>
          <w:color w:val="auto"/>
          <w:lang w:val="en-US" w:eastAsia="zh-CN"/>
        </w:rPr>
        <w:t>。激活农村土地价值，以城乡建设用地增减挂钩政策为抓手，探索建立城乡统一的建设用地市场，健全土地增值收益分配机制，确保农民通过土地流转、入市等方式公平分享土地增值收益。尽快破解资金外流与农民贷款难的矛盾，加大金融对农业农村的支持力度，扩大农村信贷覆盖范围，激励社会资本通过产业基金、PPP模式等投向农村基础设施建设和特色产业，建立乡村振兴的多元化投融资机制。</w:t>
      </w:r>
    </w:p>
    <w:p w14:paraId="2A3E4452">
      <w:pPr>
        <w:pStyle w:val="4"/>
        <w:bidi w:val="0"/>
        <w:rPr>
          <w:rFonts w:hint="eastAsia"/>
          <w:highlight w:val="none"/>
          <w:lang w:val="en-US" w:eastAsia="zh-CN"/>
        </w:rPr>
      </w:pPr>
      <w:bookmarkStart w:id="95" w:name="_Toc12636"/>
      <w:r>
        <w:rPr>
          <w:rFonts w:hint="eastAsia"/>
          <w:highlight w:val="none"/>
          <w:lang w:val="en-US" w:eastAsia="zh-CN"/>
        </w:rPr>
        <w:t>第二节 拓宽农民增收致富渠道</w:t>
      </w:r>
      <w:bookmarkEnd w:id="87"/>
      <w:bookmarkEnd w:id="88"/>
      <w:bookmarkEnd w:id="89"/>
      <w:bookmarkEnd w:id="90"/>
      <w:bookmarkEnd w:id="95"/>
    </w:p>
    <w:p w14:paraId="15CF1BDB">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eastAsia="仿宋" w:cs="Times New Roman"/>
          <w:b w:val="0"/>
          <w:bCs w:val="0"/>
          <w:kern w:val="2"/>
          <w:sz w:val="32"/>
          <w:szCs w:val="22"/>
          <w:lang w:val="en-US" w:eastAsia="zh-CN" w:bidi="ar-SA"/>
        </w:rPr>
      </w:pPr>
      <w:r>
        <w:rPr>
          <w:rFonts w:hint="eastAsia" w:ascii="Times New Roman" w:hAnsi="Times New Roman" w:eastAsia="仿宋" w:cs="Times New Roman"/>
          <w:b/>
          <w:bCs/>
          <w:kern w:val="2"/>
          <w:sz w:val="32"/>
          <w:szCs w:val="22"/>
          <w:highlight w:val="none"/>
          <w:lang w:val="en-US" w:eastAsia="zh-CN" w:bidi="ar-SA"/>
        </w:rPr>
        <w:t>推进农村集体经济活权赋能。</w:t>
      </w:r>
      <w:r>
        <w:rPr>
          <w:rFonts w:hint="eastAsia" w:ascii="Times New Roman" w:hAnsi="Times New Roman" w:eastAsia="仿宋" w:cs="Times New Roman"/>
          <w:b w:val="0"/>
          <w:bCs w:val="0"/>
          <w:kern w:val="2"/>
          <w:sz w:val="32"/>
          <w:szCs w:val="22"/>
          <w:lang w:val="en-US" w:eastAsia="zh-CN" w:bidi="ar-SA"/>
        </w:rPr>
        <w:t>稳步推进“强村公司”培育工作，鼓励各镇村建设小微企业园、渔业产业园、农业产业项目等，积极承建政府投资的工程项目，以及清洁绿化、设备养护、小区物管、安全保卫等公共服务项目，增加强村公司经营性收入。大力发展“房东经济”，鼓励以村民委员会或村集体经济组织为主体招商选商，建设一批满足产业发展和居民生活配套需求的经营性载体项目。探索村级集体经济与农业融合发展机制，支持农业龙头企业与强村公司、农村股份专业合作社加强产业链联合，组建农业产业化联合体。鼓励强村公司、有条件的村（社区）挖掘生态资源优势，打造农创文旅、绿色康养新业态。到2030年，确保全区村集体经营性收入100万元以上村（社区）占比达到</w:t>
      </w:r>
      <w:r>
        <w:rPr>
          <w:rFonts w:hint="eastAsia" w:eastAsia="仿宋" w:cs="Times New Roman"/>
          <w:b w:val="0"/>
          <w:bCs w:val="0"/>
          <w:kern w:val="2"/>
          <w:sz w:val="32"/>
          <w:szCs w:val="22"/>
          <w:lang w:val="en-US" w:eastAsia="zh-CN" w:bidi="ar-SA"/>
        </w:rPr>
        <w:t>90</w:t>
      </w:r>
      <w:r>
        <w:rPr>
          <w:rFonts w:hint="eastAsia" w:ascii="Times New Roman" w:hAnsi="Times New Roman" w:eastAsia="仿宋" w:cs="Times New Roman"/>
          <w:b w:val="0"/>
          <w:bCs w:val="0"/>
          <w:kern w:val="2"/>
          <w:sz w:val="32"/>
          <w:szCs w:val="22"/>
          <w:lang w:val="en-US" w:eastAsia="zh-CN" w:bidi="ar-SA"/>
        </w:rPr>
        <w:t>%</w:t>
      </w:r>
      <w:r>
        <w:rPr>
          <w:rFonts w:hint="eastAsia" w:eastAsia="仿宋" w:cs="Times New Roman"/>
          <w:b w:val="0"/>
          <w:bCs w:val="0"/>
          <w:kern w:val="2"/>
          <w:sz w:val="32"/>
          <w:szCs w:val="22"/>
          <w:lang w:val="en-US" w:eastAsia="zh-CN" w:bidi="ar-SA"/>
        </w:rPr>
        <w:t>。</w:t>
      </w:r>
    </w:p>
    <w:p w14:paraId="5EBE8541">
      <w:pPr>
        <w:rPr>
          <w:rFonts w:hint="eastAsia"/>
          <w:b w:val="0"/>
          <w:bCs w:val="0"/>
          <w:lang w:val="en-US" w:eastAsia="zh-CN"/>
        </w:rPr>
      </w:pPr>
      <w:r>
        <w:rPr>
          <w:rFonts w:hint="eastAsia" w:ascii="Times New Roman" w:hAnsi="Times New Roman" w:cs="Times New Roman"/>
          <w:b/>
          <w:bCs/>
          <w:color w:val="auto"/>
          <w:highlight w:val="none"/>
          <w:lang w:val="en-US" w:eastAsia="zh-CN"/>
        </w:rPr>
        <w:t>构建农民多元化收入增收格局。</w:t>
      </w:r>
      <w:r>
        <w:rPr>
          <w:rFonts w:hint="eastAsia"/>
          <w:b w:val="0"/>
          <w:bCs w:val="0"/>
          <w:lang w:val="en-US" w:eastAsia="zh-CN"/>
        </w:rPr>
        <w:t>持续提升工资性收入，深入开展返乡农民工就业服务，加强就业岗位归集发布，健全村级公共就业服务平台，建设覆盖城乡的就业服务信息管理系统，加快完善“1+N”零工市场服务平台。加快拓展经营性收入，引导农民开展适度规模经营，在乡村特色产业领域创新创业，积极发展农产品加工、休闲农业、乡村旅游、农村电商等业态。有效扩大财产性收入，巩固农村集体产权制度改革成果，推动土地溢价分配更多向村级集体经济组织和农户倾斜，支持采取集体建设用地指标折价入股的方式发展产业项目，获取稳定股份分红收益。稳步增加转移性收入，严格落实各级强农惠农政策，建立健全政策性农业保险保障体系，提升社会保障水平，增加保障型转移性收入。到2030年，农村居民人均可支配收入达到6.6万元。</w:t>
      </w:r>
    </w:p>
    <w:p w14:paraId="4897A268">
      <w:pPr>
        <w:ind w:firstLine="643" w:firstLineChars="200"/>
        <w:rPr>
          <w:rFonts w:hint="eastAsia"/>
          <w:b w:val="0"/>
          <w:bCs w:val="0"/>
          <w:lang w:val="en-US" w:eastAsia="zh-CN"/>
        </w:rPr>
      </w:pPr>
      <w:r>
        <w:rPr>
          <w:rFonts w:hint="eastAsia"/>
          <w:b/>
          <w:bCs/>
          <w:lang w:val="en-US" w:eastAsia="zh-CN"/>
        </w:rPr>
        <w:t>统筹建立常态化防止返贫致贫机制。</w:t>
      </w:r>
      <w:r>
        <w:rPr>
          <w:rFonts w:hint="eastAsia"/>
          <w:b w:val="0"/>
          <w:bCs w:val="0"/>
          <w:lang w:val="en-US" w:eastAsia="zh-CN"/>
        </w:rPr>
        <w:t>建立健全统一规范、精准识别、动态进出的常态化防止返贫致贫监测体系，健全精准识别和快速响应机制，确保早发现、早干预、早帮扶。加强分类精准帮扶，对有劳动能力的强化产业、就业和技能培训等方式帮扶；对没有劳动能力的按规定纳入社会救助体系予以兜底保障。优化产业帮扶方式，分类推进现有产业巩固、升级、盘活、调整，发展具有市场竞争力的帮扶产业。强化就业帮扶，坚持转移就业与就地就近就业双向发力，用好乡村公益性岗位等就业渠道。健全帮扶项目资产分类分级长效管理机制，建立统一登记台账，完善利益联结，压实常态化帮扶责任，加强常态化帮扶政策宣传和舆论引导。</w:t>
      </w:r>
    </w:p>
    <w:bookmarkEnd w:id="91"/>
    <w:bookmarkEnd w:id="92"/>
    <w:bookmarkEnd w:id="93"/>
    <w:bookmarkEnd w:id="94"/>
    <w:p w14:paraId="3D9D3C6E">
      <w:pPr>
        <w:pStyle w:val="4"/>
        <w:bidi w:val="0"/>
        <w:rPr>
          <w:rFonts w:hint="eastAsia"/>
          <w:highlight w:val="none"/>
          <w:lang w:val="en-US" w:eastAsia="zh-CN"/>
        </w:rPr>
      </w:pPr>
      <w:bookmarkStart w:id="96" w:name="_Toc6436"/>
      <w:bookmarkStart w:id="97" w:name="_Toc5509"/>
      <w:bookmarkStart w:id="98" w:name="_Toc406"/>
      <w:bookmarkStart w:id="99" w:name="_Toc32221"/>
      <w:bookmarkStart w:id="100" w:name="_Toc6737"/>
      <w:r>
        <w:rPr>
          <w:rFonts w:hint="eastAsia"/>
          <w:highlight w:val="none"/>
          <w:lang w:val="en-US" w:eastAsia="zh-CN"/>
        </w:rPr>
        <w:t>第三节 加强农村人才培养开发</w:t>
      </w:r>
      <w:bookmarkEnd w:id="96"/>
      <w:bookmarkEnd w:id="97"/>
      <w:bookmarkEnd w:id="98"/>
      <w:bookmarkEnd w:id="99"/>
      <w:bookmarkEnd w:id="100"/>
    </w:p>
    <w:p w14:paraId="472B0E15">
      <w:pPr>
        <w:rPr>
          <w:rFonts w:hint="default" w:ascii="Times New Roman" w:hAnsi="Times New Roman" w:eastAsia="仿宋" w:cs="Times New Roman"/>
          <w:bCs w:val="0"/>
          <w:kern w:val="2"/>
          <w:sz w:val="32"/>
          <w:szCs w:val="22"/>
          <w:lang w:val="en-US" w:eastAsia="zh-CN" w:bidi="ar-SA"/>
        </w:rPr>
      </w:pPr>
      <w:r>
        <w:rPr>
          <w:rFonts w:hint="eastAsia" w:ascii="Times New Roman" w:hAnsi="Times New Roman" w:cs="Times New Roman"/>
          <w:b/>
          <w:bCs/>
          <w:color w:val="auto"/>
          <w:lang w:val="en-US" w:eastAsia="zh-CN"/>
        </w:rPr>
        <w:t>因地制宜培养乡土人才。</w:t>
      </w:r>
      <w:r>
        <w:rPr>
          <w:rFonts w:hint="eastAsia" w:cs="Times New Roman"/>
          <w:bCs w:val="0"/>
          <w:kern w:val="2"/>
          <w:sz w:val="32"/>
          <w:szCs w:val="22"/>
          <w:lang w:val="en-US" w:eastAsia="zh-CN" w:bidi="ar-SA"/>
        </w:rPr>
        <w:t>加大对</w:t>
      </w:r>
      <w:r>
        <w:rPr>
          <w:rFonts w:hint="eastAsia" w:ascii="Times New Roman" w:hAnsi="Times New Roman" w:eastAsia="仿宋" w:cs="Times New Roman"/>
          <w:bCs w:val="0"/>
          <w:kern w:val="2"/>
          <w:sz w:val="32"/>
          <w:szCs w:val="22"/>
          <w:lang w:val="en-US" w:eastAsia="zh-CN" w:bidi="ar-SA"/>
        </w:rPr>
        <w:t>“土专家”“田秀才”</w:t>
      </w:r>
      <w:r>
        <w:rPr>
          <w:rFonts w:hint="eastAsia" w:cs="Times New Roman"/>
          <w:bCs w:val="0"/>
          <w:kern w:val="2"/>
          <w:sz w:val="32"/>
          <w:szCs w:val="22"/>
          <w:lang w:val="en-US" w:eastAsia="zh-CN" w:bidi="ar-SA"/>
        </w:rPr>
        <w:t>的培育力度</w:t>
      </w:r>
      <w:r>
        <w:rPr>
          <w:rFonts w:hint="eastAsia" w:ascii="Times New Roman" w:hAnsi="Times New Roman" w:eastAsia="仿宋" w:cs="Times New Roman"/>
          <w:bCs w:val="0"/>
          <w:kern w:val="2"/>
          <w:sz w:val="32"/>
          <w:szCs w:val="22"/>
          <w:lang w:val="en-US" w:eastAsia="zh-CN" w:bidi="ar-SA"/>
        </w:rPr>
        <w:t>，深入推进乡土人才“三带”行动计划</w:t>
      </w:r>
      <w:r>
        <w:rPr>
          <w:rFonts w:hint="eastAsia" w:ascii="Times New Roman" w:hAnsi="Times New Roman" w:cs="Times New Roman"/>
          <w:bCs w:val="0"/>
          <w:kern w:val="2"/>
          <w:sz w:val="32"/>
          <w:szCs w:val="22"/>
          <w:lang w:val="en-US" w:eastAsia="zh-CN" w:bidi="ar-SA"/>
        </w:rPr>
        <w:t>，</w:t>
      </w:r>
      <w:r>
        <w:rPr>
          <w:rFonts w:hint="eastAsia" w:ascii="Times New Roman" w:hAnsi="Times New Roman" w:eastAsia="仿宋" w:cs="Times New Roman"/>
          <w:bCs w:val="0"/>
          <w:kern w:val="2"/>
          <w:sz w:val="32"/>
          <w:szCs w:val="22"/>
          <w:lang w:val="en-US" w:eastAsia="zh-CN" w:bidi="ar-SA"/>
        </w:rPr>
        <w:t>扶持培育一批农业职业经理人、经纪人、乡村工匠，充分发挥乡土人才带领技艺传承、带强产业发展、带动群众致富等方面榜样引领作用。</w:t>
      </w:r>
      <w:r>
        <w:rPr>
          <w:rFonts w:hint="default" w:ascii="Times New Roman" w:hAnsi="Times New Roman" w:eastAsia="仿宋" w:cs="Times New Roman"/>
          <w:bCs w:val="0"/>
          <w:kern w:val="2"/>
          <w:sz w:val="32"/>
          <w:szCs w:val="22"/>
          <w:lang w:val="en-US" w:eastAsia="zh-CN" w:bidi="ar-SA"/>
        </w:rPr>
        <w:t>积极推荐优秀乡土人才参加省市级乡土人才传承示范基地、乡土人才大师工作室评选，开展乡土人才技艺技能展示活动，建设区级非遗工坊</w:t>
      </w:r>
      <w:r>
        <w:rPr>
          <w:rFonts w:hint="eastAsia" w:ascii="Times New Roman" w:hAnsi="Times New Roman" w:eastAsia="仿宋" w:cs="Times New Roman"/>
          <w:bCs w:val="0"/>
          <w:kern w:val="2"/>
          <w:sz w:val="32"/>
          <w:szCs w:val="22"/>
          <w:lang w:val="en-US" w:eastAsia="zh-CN" w:bidi="ar-SA"/>
        </w:rPr>
        <w:t>。完善乡土人才激励机制，统筹推进职称评定、技能等级认定与荣誉表彰，提升人才荣誉感与社会地位。实施“非遗文化传承乡土人才培养规划”，从传授单一技术技能向市场经济、现代农业科技等多个领域延伸，</w:t>
      </w:r>
      <w:r>
        <w:rPr>
          <w:rFonts w:hint="eastAsia" w:ascii="Times New Roman" w:hAnsi="Times New Roman" w:cs="Times New Roman"/>
          <w:bCs w:val="0"/>
          <w:kern w:val="2"/>
          <w:sz w:val="32"/>
          <w:szCs w:val="22"/>
          <w:lang w:val="en-US" w:eastAsia="zh-CN" w:bidi="ar-SA"/>
        </w:rPr>
        <w:t>重点</w:t>
      </w:r>
      <w:r>
        <w:rPr>
          <w:rFonts w:hint="eastAsia" w:ascii="Times New Roman" w:hAnsi="Times New Roman" w:eastAsia="仿宋" w:cs="Times New Roman"/>
          <w:bCs w:val="0"/>
          <w:kern w:val="2"/>
          <w:sz w:val="32"/>
          <w:szCs w:val="22"/>
          <w:lang w:val="en-US" w:eastAsia="zh-CN" w:bidi="ar-SA"/>
        </w:rPr>
        <w:t>培养复合型乡土人才</w:t>
      </w:r>
      <w:r>
        <w:rPr>
          <w:rFonts w:hint="eastAsia" w:ascii="Times New Roman" w:hAnsi="Times New Roman" w:cs="Times New Roman"/>
          <w:bCs w:val="0"/>
          <w:kern w:val="2"/>
          <w:sz w:val="32"/>
          <w:szCs w:val="22"/>
          <w:lang w:val="en-US" w:eastAsia="zh-CN" w:bidi="ar-SA"/>
        </w:rPr>
        <w:t>。</w:t>
      </w:r>
    </w:p>
    <w:p w14:paraId="39681813">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ascii="Times New Roman" w:hAnsi="Times New Roman" w:cs="Times New Roman"/>
          <w:b/>
          <w:bCs/>
          <w:color w:val="000000" w:themeColor="text1"/>
          <w:lang w:val="en-US" w:eastAsia="zh-CN"/>
          <w14:textFill>
            <w14:solidFill>
              <w14:schemeClr w14:val="tx1"/>
            </w14:solidFill>
          </w14:textFill>
        </w:rPr>
        <w:t>加强“新农人”培育。</w:t>
      </w:r>
      <w:r>
        <w:rPr>
          <w:rFonts w:hint="eastAsia"/>
          <w:color w:val="000000" w:themeColor="text1"/>
          <w:lang w:val="en-US" w:eastAsia="zh-CN"/>
          <w14:textFill>
            <w14:solidFill>
              <w14:schemeClr w14:val="tx1"/>
            </w14:solidFill>
          </w14:textFill>
        </w:rPr>
        <w:t>持</w:t>
      </w:r>
      <w:r>
        <w:rPr>
          <w:rFonts w:hint="eastAsia"/>
          <w:lang w:val="en-US" w:eastAsia="zh-CN"/>
        </w:rPr>
        <w:t>续深化“新农人”培育三年行动计划，加强“新农菁英”培育，积极开展“兴村特岗”青年人才选聘、新型农业经营主体带头人培训、涉农专业大学生创业培训等活动。推进农民技能培训与学历教育有效衔接，分层次分类别设计基础技能普及、产业专精提升、领军创新引领等培育路径。推进乡村产业振兴带头人培育“头雁”项目，以新型农业经营主体为重点，大力培育乡村产业发展带头人。充分发挥“新农人联盟”纽带作用，推动科技人才与地方产业发展深度融合，依托“新农同心驿站”，针对“新农人”开展农学大讲堂、农技技能培训、农业政策宣讲、农产品电商直播一体的综合服务。</w:t>
      </w:r>
    </w:p>
    <w:p w14:paraId="7B18FDB1">
      <w:pPr>
        <w:bidi w:val="0"/>
        <w:rPr>
          <w:rFonts w:hint="eastAsia"/>
          <w:lang w:val="en-US" w:eastAsia="zh-CN"/>
        </w:rPr>
      </w:pPr>
      <w:r>
        <w:rPr>
          <w:rFonts w:hint="eastAsia" w:ascii="Times New Roman" w:hAnsi="Times New Roman" w:cs="Times New Roman"/>
          <w:b/>
          <w:bCs/>
          <w:color w:val="auto"/>
          <w:lang w:val="en-US" w:eastAsia="zh-CN"/>
        </w:rPr>
        <w:t>加强农民职业技能培训。</w:t>
      </w:r>
      <w:r>
        <w:rPr>
          <w:rFonts w:hint="eastAsia" w:ascii="Times New Roman" w:hAnsi="Times New Roman" w:eastAsia="仿宋" w:cs="Times New Roman"/>
          <w:b w:val="0"/>
          <w:bCs w:val="0"/>
          <w:color w:val="auto"/>
          <w:kern w:val="2"/>
          <w:sz w:val="32"/>
          <w:szCs w:val="22"/>
          <w:lang w:val="en-US" w:eastAsia="zh-CN" w:bidi="ar-SA"/>
        </w:rPr>
        <w:t>依托</w:t>
      </w:r>
      <w:r>
        <w:rPr>
          <w:rFonts w:hint="eastAsia" w:cs="Times New Roman"/>
          <w:b w:val="0"/>
          <w:bCs w:val="0"/>
          <w:color w:val="auto"/>
          <w:kern w:val="2"/>
          <w:sz w:val="32"/>
          <w:szCs w:val="22"/>
          <w:lang w:val="en-US" w:eastAsia="zh-CN" w:bidi="ar-SA"/>
        </w:rPr>
        <w:t>本地</w:t>
      </w:r>
      <w:r>
        <w:rPr>
          <w:rFonts w:hint="eastAsia" w:ascii="Times New Roman" w:hAnsi="Times New Roman" w:eastAsia="仿宋" w:cs="Times New Roman"/>
          <w:b w:val="0"/>
          <w:bCs w:val="0"/>
          <w:color w:val="auto"/>
          <w:kern w:val="2"/>
          <w:sz w:val="32"/>
          <w:szCs w:val="22"/>
          <w:lang w:val="en-US" w:eastAsia="zh-CN" w:bidi="ar-SA"/>
        </w:rPr>
        <w:t>涉农高校、龙头企业等</w:t>
      </w:r>
      <w:r>
        <w:rPr>
          <w:rFonts w:hint="eastAsia" w:cs="Times New Roman"/>
          <w:b w:val="0"/>
          <w:bCs w:val="0"/>
          <w:color w:val="auto"/>
          <w:kern w:val="2"/>
          <w:sz w:val="32"/>
          <w:szCs w:val="22"/>
          <w:lang w:val="en-US" w:eastAsia="zh-CN" w:bidi="ar-SA"/>
        </w:rPr>
        <w:t>平台载体</w:t>
      </w:r>
      <w:r>
        <w:rPr>
          <w:rFonts w:hint="eastAsia" w:ascii="Times New Roman" w:hAnsi="Times New Roman" w:eastAsia="仿宋" w:cs="Times New Roman"/>
          <w:b w:val="0"/>
          <w:bCs w:val="0"/>
          <w:color w:val="auto"/>
          <w:kern w:val="2"/>
          <w:sz w:val="32"/>
          <w:szCs w:val="22"/>
          <w:lang w:val="en-US" w:eastAsia="zh-CN" w:bidi="ar-SA"/>
        </w:rPr>
        <w:t>，大力实施</w:t>
      </w:r>
      <w:r>
        <w:rPr>
          <w:rFonts w:hint="eastAsia" w:cs="Times New Roman"/>
          <w:b w:val="0"/>
          <w:bCs w:val="0"/>
          <w:color w:val="auto"/>
          <w:kern w:val="2"/>
          <w:sz w:val="32"/>
          <w:szCs w:val="22"/>
          <w:lang w:val="en-US" w:eastAsia="zh-CN" w:bidi="ar-SA"/>
        </w:rPr>
        <w:t>农民</w:t>
      </w:r>
      <w:r>
        <w:rPr>
          <w:rFonts w:hint="eastAsia" w:ascii="Times New Roman" w:hAnsi="Times New Roman" w:eastAsia="仿宋" w:cs="Times New Roman"/>
          <w:b w:val="0"/>
          <w:bCs w:val="0"/>
          <w:color w:val="auto"/>
          <w:kern w:val="2"/>
          <w:sz w:val="32"/>
          <w:szCs w:val="22"/>
          <w:lang w:val="en-US" w:eastAsia="zh-CN" w:bidi="ar-SA"/>
        </w:rPr>
        <w:t>职业技能提升行动</w:t>
      </w:r>
      <w:r>
        <w:rPr>
          <w:rFonts w:hint="eastAsia" w:cs="Times New Roman"/>
          <w:b w:val="0"/>
          <w:bCs w:val="0"/>
          <w:color w:val="auto"/>
          <w:kern w:val="2"/>
          <w:sz w:val="32"/>
          <w:szCs w:val="22"/>
          <w:lang w:val="en-US" w:eastAsia="zh-CN" w:bidi="ar-SA"/>
        </w:rPr>
        <w:t>，建立城乡、区域、校地之间人才培养合作与交流机制。</w:t>
      </w:r>
      <w:r>
        <w:rPr>
          <w:rFonts w:hint="eastAsia" w:ascii="Times New Roman" w:hAnsi="Times New Roman" w:eastAsia="仿宋" w:cs="Times New Roman"/>
          <w:b w:val="0"/>
          <w:bCs w:val="0"/>
          <w:color w:val="auto"/>
          <w:kern w:val="2"/>
          <w:sz w:val="32"/>
          <w:szCs w:val="22"/>
          <w:lang w:val="en-US" w:eastAsia="zh-CN" w:bidi="ar-SA"/>
        </w:rPr>
        <w:t>支持企业对符合条件的农民工特别是新生代农民工开展补贴性岗前培训、岗位技能提升培训、企业新型学徒制培训</w:t>
      </w:r>
      <w:r>
        <w:rPr>
          <w:rFonts w:hint="eastAsia" w:cs="Times New Roman"/>
          <w:b w:val="0"/>
          <w:bCs w:val="0"/>
          <w:color w:val="auto"/>
          <w:kern w:val="2"/>
          <w:sz w:val="32"/>
          <w:szCs w:val="22"/>
          <w:lang w:val="en-US" w:eastAsia="zh-CN" w:bidi="ar-SA"/>
        </w:rPr>
        <w:t>。实施重点就业群体强技计划，开展女性就业专场招聘，培树巾帼乡村主理人，</w:t>
      </w:r>
      <w:r>
        <w:rPr>
          <w:rFonts w:hint="eastAsia" w:ascii="Times New Roman" w:hAnsi="Times New Roman" w:eastAsia="仿宋" w:cs="Times New Roman"/>
          <w:b w:val="0"/>
          <w:bCs w:val="0"/>
          <w:color w:val="auto"/>
          <w:kern w:val="2"/>
          <w:sz w:val="32"/>
          <w:szCs w:val="22"/>
          <w:lang w:val="en-US" w:eastAsia="zh-CN" w:bidi="ar-SA"/>
        </w:rPr>
        <w:t>针对返乡青年、创业农户、村集体合作社负责人，开展创业运营、品牌打造、电商营销等通用技能培训，</w:t>
      </w:r>
      <w:r>
        <w:rPr>
          <w:rFonts w:hint="eastAsia" w:cs="Times New Roman"/>
          <w:b w:val="0"/>
          <w:bCs w:val="0"/>
          <w:color w:val="auto"/>
          <w:kern w:val="2"/>
          <w:sz w:val="32"/>
          <w:szCs w:val="22"/>
          <w:lang w:val="en-US" w:eastAsia="zh-CN" w:bidi="ar-SA"/>
        </w:rPr>
        <w:t>推动乡村产业融合发展</w:t>
      </w:r>
      <w:r>
        <w:rPr>
          <w:rFonts w:hint="eastAsia" w:ascii="Times New Roman" w:hAnsi="Times New Roman" w:eastAsia="仿宋" w:cs="Times New Roman"/>
          <w:b w:val="0"/>
          <w:bCs w:val="0"/>
          <w:color w:val="auto"/>
          <w:kern w:val="2"/>
          <w:sz w:val="32"/>
          <w:szCs w:val="22"/>
          <w:lang w:val="en-US" w:eastAsia="zh-CN" w:bidi="ar-SA"/>
        </w:rPr>
        <w:t>。</w:t>
      </w:r>
      <w:r>
        <w:rPr>
          <w:rFonts w:hint="eastAsia" w:cs="Times New Roman"/>
          <w:b w:val="0"/>
          <w:bCs w:val="0"/>
          <w:color w:val="auto"/>
          <w:kern w:val="2"/>
          <w:sz w:val="32"/>
          <w:szCs w:val="22"/>
          <w:lang w:val="en-US" w:eastAsia="zh-CN" w:bidi="ar-SA"/>
        </w:rPr>
        <w:t>对接城区家政、物流、物业、文旅等行业用工需求，开展“轻技能、易就业、就近岗”的非农技能培训，推动实现“农闲务工、农忙务农”双增收</w:t>
      </w:r>
      <w:r>
        <w:rPr>
          <w:rFonts w:hint="eastAsia" w:ascii="Times New Roman" w:hAnsi="Times New Roman" w:eastAsia="仿宋" w:cs="Times New Roman"/>
          <w:b w:val="0"/>
          <w:bCs w:val="0"/>
          <w:color w:val="auto"/>
          <w:kern w:val="2"/>
          <w:sz w:val="32"/>
          <w:szCs w:val="22"/>
          <w:lang w:val="en-US" w:eastAsia="zh-CN" w:bidi="ar-SA"/>
        </w:rPr>
        <w:t>。</w:t>
      </w:r>
      <w:bookmarkStart w:id="101" w:name="_Toc31271"/>
      <w:r>
        <w:rPr>
          <w:rFonts w:hint="eastAsia"/>
          <w:lang w:val="en-US" w:eastAsia="zh-CN"/>
        </w:rPr>
        <w:br w:type="page"/>
      </w:r>
    </w:p>
    <w:p w14:paraId="0C893539">
      <w:pPr>
        <w:pStyle w:val="3"/>
        <w:bidi w:val="0"/>
        <w:rPr>
          <w:rFonts w:hint="eastAsia"/>
          <w:highlight w:val="none"/>
        </w:rPr>
      </w:pPr>
      <w:bookmarkStart w:id="102" w:name="_Toc10963"/>
      <w:bookmarkStart w:id="103" w:name="_Toc10844"/>
      <w:bookmarkStart w:id="104" w:name="_Toc15322"/>
      <w:bookmarkStart w:id="105" w:name="_Toc12936"/>
      <w:r>
        <w:rPr>
          <w:rFonts w:hint="eastAsia"/>
          <w:highlight w:val="none"/>
          <w:lang w:val="en-US" w:eastAsia="zh-CN"/>
        </w:rPr>
        <w:t xml:space="preserve">第六章 </w:t>
      </w:r>
      <w:bookmarkEnd w:id="101"/>
      <w:r>
        <w:rPr>
          <w:rFonts w:hint="eastAsia"/>
          <w:highlight w:val="none"/>
          <w:lang w:val="en-US" w:eastAsia="zh-CN"/>
        </w:rPr>
        <w:t>全面深化农业农村改革</w:t>
      </w:r>
      <w:bookmarkEnd w:id="102"/>
      <w:bookmarkEnd w:id="103"/>
      <w:bookmarkEnd w:id="104"/>
      <w:bookmarkEnd w:id="105"/>
    </w:p>
    <w:p w14:paraId="2E3947C8">
      <w:pPr>
        <w:pStyle w:val="4"/>
        <w:bidi w:val="0"/>
        <w:rPr>
          <w:rFonts w:hint="default"/>
          <w:lang w:val="en-US" w:eastAsia="zh-CN"/>
        </w:rPr>
      </w:pPr>
      <w:bookmarkStart w:id="106" w:name="_Toc2194"/>
      <w:bookmarkStart w:id="107" w:name="_Toc2188"/>
      <w:bookmarkStart w:id="108" w:name="_Toc16388"/>
      <w:bookmarkStart w:id="109" w:name="_Toc31542"/>
      <w:bookmarkStart w:id="110" w:name="_Toc822"/>
      <w:r>
        <w:rPr>
          <w:rFonts w:hint="eastAsia"/>
          <w:lang w:val="en-US" w:eastAsia="zh-CN"/>
        </w:rPr>
        <w:t xml:space="preserve">第一节 </w:t>
      </w:r>
      <w:bookmarkEnd w:id="106"/>
      <w:r>
        <w:rPr>
          <w:rFonts w:hint="eastAsia"/>
          <w:lang w:val="en-US" w:eastAsia="zh-CN"/>
        </w:rPr>
        <w:t>巩固和完善集体产权制度</w:t>
      </w:r>
      <w:bookmarkEnd w:id="107"/>
      <w:bookmarkEnd w:id="108"/>
      <w:bookmarkEnd w:id="109"/>
      <w:bookmarkEnd w:id="110"/>
    </w:p>
    <w:p w14:paraId="40944DFF">
      <w:pPr>
        <w:keepNext w:val="0"/>
        <w:keepLines w:val="0"/>
        <w:pageBreakBefore w:val="0"/>
        <w:widowControl w:val="0"/>
        <w:kinsoku/>
        <w:wordWrap/>
        <w:overflowPunct/>
        <w:topLinePunct w:val="0"/>
        <w:autoSpaceDE/>
        <w:autoSpaceDN/>
        <w:bidi w:val="0"/>
        <w:adjustRightInd/>
        <w:snapToGrid/>
        <w:textAlignment w:val="auto"/>
        <w:rPr>
          <w:rFonts w:hint="eastAsia"/>
          <w:b w:val="0"/>
          <w:bCs w:val="0"/>
          <w:color w:val="auto"/>
          <w:lang w:val="en-US" w:eastAsia="zh-CN"/>
        </w:rPr>
      </w:pPr>
      <w:bookmarkStart w:id="111" w:name="_Toc13730"/>
      <w:r>
        <w:rPr>
          <w:rFonts w:hint="eastAsia"/>
          <w:b/>
          <w:bCs/>
          <w:color w:val="auto"/>
          <w:highlight w:val="none"/>
          <w:lang w:val="en-US" w:eastAsia="zh-CN"/>
        </w:rPr>
        <w:t>推进农村产权交易市场建设。</w:t>
      </w:r>
      <w:r>
        <w:rPr>
          <w:rFonts w:hint="eastAsia"/>
          <w:b w:val="0"/>
          <w:bCs w:val="0"/>
          <w:color w:val="auto"/>
          <w:lang w:val="en-US" w:eastAsia="zh-CN"/>
        </w:rPr>
        <w:t>按照有固定交易场所、有统一交易标识、有规范交易程序、有充分经费保障、有稳定工作队伍的“五有”要求，建设农村产权交易中心。建立健全农村产权流转交易管理制度和实施细则，明确“应进必进”、绿色通道等交易细则，细化交易程序、完善交易文书。在农户承包土地经营权、林权、农业类知识产权等主要交易品种基础上，逐步拓展交易范围、丰富交易品种。拓展多样化衍生服务，探索开展资产评估、法律服务、测绘测量、产权经纪、项目推介、抵押融资等专业配套服务，提升产权交易市场服务水平。强化农村产权交易市场监督管理，健全资格审查、项目审核与风险防控体系，对大型项目线上交易实施全过程监管，保障市场规范运行。</w:t>
      </w:r>
    </w:p>
    <w:p w14:paraId="29ABAD46">
      <w:pPr>
        <w:rPr>
          <w:rFonts w:hint="eastAsia"/>
          <w:b w:val="0"/>
          <w:bCs w:val="0"/>
          <w:lang w:val="en-US" w:eastAsia="zh-CN"/>
        </w:rPr>
      </w:pPr>
      <w:r>
        <w:rPr>
          <w:rFonts w:hint="eastAsia"/>
          <w:b/>
          <w:bCs/>
          <w:color w:val="auto"/>
          <w:highlight w:val="none"/>
          <w:lang w:val="en-US" w:eastAsia="zh-CN"/>
        </w:rPr>
        <w:t>加强农村集体“三资”监管。</w:t>
      </w:r>
      <w:r>
        <w:rPr>
          <w:rFonts w:hint="eastAsia"/>
          <w:b w:val="0"/>
          <w:bCs w:val="0"/>
          <w:highlight w:val="none"/>
          <w:lang w:val="en-US" w:eastAsia="zh-CN"/>
        </w:rPr>
        <w:t>开</w:t>
      </w:r>
      <w:r>
        <w:rPr>
          <w:rFonts w:hint="eastAsia"/>
          <w:b w:val="0"/>
          <w:bCs w:val="0"/>
          <w:lang w:val="en-US" w:eastAsia="zh-CN"/>
        </w:rPr>
        <w:t>展全域清产核资专项行动，以村为单位，逐笔核查集体资金、资产、资源，衔接土地承包经营权确权、宅基地确权、二轮延包、小田并大田等工作，动态更新集体资源台账。搭建“三资”数字化监管平台，与区农村产权交易中心、土地流转平台、征地补偿系统、村级财务系统互联互通，实现“三资”数据“一网归集、一网监管、一网公开”。深化农村“政经分开”改革，明确村民委员会和村集体股份合作社核算内容，实行账户分设、财务分开、分账核算，推动组织功能分开、管理人员分开、议事决策分开。发挥村级党组织核心作用，将“三资”监管纳入基层党建考核，完善民主理财小组运作，全面实行“先理财、后审批、再记账”管理模式，重大事项严格执行“四议两公开”，保障村民知情权、参与权，构建多层次监督网络。</w:t>
      </w:r>
    </w:p>
    <w:p w14:paraId="7885E752">
      <w:pPr>
        <w:rPr>
          <w:rFonts w:hint="eastAsia"/>
          <w:b w:val="0"/>
          <w:bCs w:val="0"/>
          <w:lang w:val="en-US" w:eastAsia="zh-CN"/>
        </w:rPr>
      </w:pPr>
      <w:r>
        <w:rPr>
          <w:rFonts w:hint="eastAsia" w:ascii="Times New Roman" w:hAnsi="Times New Roman" w:cs="Times New Roman"/>
          <w:b/>
          <w:bCs/>
          <w:color w:val="auto"/>
          <w:kern w:val="2"/>
          <w:sz w:val="32"/>
          <w:szCs w:val="22"/>
          <w:highlight w:val="none"/>
          <w:lang w:val="en-US" w:eastAsia="zh-CN"/>
        </w:rPr>
        <w:t>促进土地流转与</w:t>
      </w:r>
      <w:r>
        <w:rPr>
          <w:rFonts w:hint="eastAsia" w:cs="Times New Roman"/>
          <w:b/>
          <w:bCs/>
          <w:color w:val="auto"/>
          <w:kern w:val="2"/>
          <w:sz w:val="32"/>
          <w:szCs w:val="22"/>
          <w:highlight w:val="none"/>
          <w:lang w:val="en-US" w:eastAsia="zh-CN"/>
        </w:rPr>
        <w:t>规模</w:t>
      </w:r>
      <w:r>
        <w:rPr>
          <w:rFonts w:hint="eastAsia" w:ascii="Times New Roman" w:hAnsi="Times New Roman" w:cs="Times New Roman"/>
          <w:b/>
          <w:bCs/>
          <w:color w:val="auto"/>
          <w:kern w:val="2"/>
          <w:sz w:val="32"/>
          <w:szCs w:val="22"/>
          <w:highlight w:val="none"/>
          <w:lang w:val="en-US" w:eastAsia="zh-CN"/>
        </w:rPr>
        <w:t>经营。</w:t>
      </w:r>
      <w:r>
        <w:rPr>
          <w:rFonts w:hint="eastAsia" w:ascii="Times New Roman" w:hAnsi="Times New Roman" w:cs="Times New Roman"/>
          <w:b w:val="0"/>
          <w:bCs w:val="0"/>
          <w:color w:val="auto"/>
          <w:kern w:val="2"/>
          <w:sz w:val="32"/>
          <w:szCs w:val="22"/>
          <w:highlight w:val="none"/>
          <w:lang w:val="en-US" w:eastAsia="zh-CN"/>
        </w:rPr>
        <w:t>强化政策宣传与流程规范，通过普法宣讲提</w:t>
      </w:r>
      <w:r>
        <w:rPr>
          <w:rFonts w:hint="eastAsia" w:cs="Times New Roman"/>
          <w:b w:val="0"/>
          <w:bCs w:val="0"/>
          <w:color w:val="auto"/>
          <w:kern w:val="2"/>
          <w:sz w:val="32"/>
          <w:szCs w:val="22"/>
          <w:highlight w:val="none"/>
          <w:lang w:val="en-US" w:eastAsia="zh-CN"/>
        </w:rPr>
        <w:t>高</w:t>
      </w:r>
      <w:r>
        <w:rPr>
          <w:rFonts w:hint="eastAsia" w:ascii="Times New Roman" w:hAnsi="Times New Roman" w:cs="Times New Roman"/>
          <w:b w:val="0"/>
          <w:bCs w:val="0"/>
          <w:color w:val="auto"/>
          <w:kern w:val="2"/>
          <w:sz w:val="32"/>
          <w:szCs w:val="22"/>
          <w:highlight w:val="none"/>
          <w:lang w:val="en-US" w:eastAsia="zh-CN"/>
        </w:rPr>
        <w:t>农户与经营主体</w:t>
      </w:r>
      <w:r>
        <w:rPr>
          <w:rFonts w:hint="eastAsia" w:cs="Times New Roman"/>
          <w:b w:val="0"/>
          <w:bCs w:val="0"/>
          <w:color w:val="auto"/>
          <w:kern w:val="2"/>
          <w:sz w:val="32"/>
          <w:szCs w:val="22"/>
          <w:highlight w:val="none"/>
          <w:lang w:val="en-US" w:eastAsia="zh-CN"/>
        </w:rPr>
        <w:t>知晓率</w:t>
      </w:r>
      <w:r>
        <w:rPr>
          <w:rFonts w:hint="eastAsia" w:ascii="Times New Roman" w:hAnsi="Times New Roman" w:cs="Times New Roman"/>
          <w:b w:val="0"/>
          <w:bCs w:val="0"/>
          <w:color w:val="auto"/>
          <w:kern w:val="2"/>
          <w:sz w:val="32"/>
          <w:szCs w:val="22"/>
          <w:highlight w:val="none"/>
          <w:lang w:val="en-US" w:eastAsia="zh-CN"/>
        </w:rPr>
        <w:t>，指导签订规范书面合同并明确权责条款，</w:t>
      </w:r>
      <w:r>
        <w:rPr>
          <w:rFonts w:hint="eastAsia" w:cs="Times New Roman"/>
          <w:b w:val="0"/>
          <w:bCs w:val="0"/>
          <w:color w:val="auto"/>
          <w:kern w:val="2"/>
          <w:sz w:val="32"/>
          <w:szCs w:val="22"/>
          <w:highlight w:val="none"/>
          <w:lang w:val="en-US" w:eastAsia="zh-CN"/>
        </w:rPr>
        <w:t>进一步规范土地流转行为</w:t>
      </w:r>
      <w:r>
        <w:rPr>
          <w:rFonts w:hint="eastAsia" w:ascii="Times New Roman" w:hAnsi="Times New Roman" w:cs="Times New Roman"/>
          <w:b w:val="0"/>
          <w:bCs w:val="0"/>
          <w:color w:val="auto"/>
          <w:kern w:val="2"/>
          <w:sz w:val="32"/>
          <w:szCs w:val="22"/>
          <w:highlight w:val="none"/>
          <w:lang w:val="en-US" w:eastAsia="zh-CN"/>
        </w:rPr>
        <w:t>。</w:t>
      </w:r>
      <w:r>
        <w:rPr>
          <w:rFonts w:hint="eastAsia" w:cs="Times New Roman"/>
          <w:b w:val="0"/>
          <w:bCs w:val="0"/>
          <w:color w:val="auto"/>
          <w:kern w:val="2"/>
          <w:sz w:val="32"/>
          <w:szCs w:val="22"/>
          <w:highlight w:val="none"/>
          <w:lang w:val="en-US" w:eastAsia="zh-CN"/>
        </w:rPr>
        <w:t>分类推进土地向家庭农场、农民合作社、农业企业等新型经营主体集中，探索“土地流转+土地托管+股份合作”多元模式，明确土地流转用途，严格防止“非粮化”，坚决制止“非农化”。</w:t>
      </w:r>
      <w:r>
        <w:rPr>
          <w:rFonts w:hint="eastAsia" w:ascii="Times New Roman" w:hAnsi="Times New Roman" w:cs="Times New Roman"/>
          <w:b w:val="0"/>
          <w:bCs w:val="0"/>
          <w:color w:val="auto"/>
          <w:kern w:val="2"/>
          <w:sz w:val="32"/>
          <w:szCs w:val="22"/>
          <w:highlight w:val="none"/>
          <w:lang w:val="en-US" w:eastAsia="zh-CN"/>
        </w:rPr>
        <w:t>推动集体土地及农户委托流转土地进入产权交易市场公开交易，强化社会资本资格审查与项目审核，开展土地经营权流转“回头看”活动</w:t>
      </w:r>
      <w:r>
        <w:rPr>
          <w:rFonts w:hint="eastAsia" w:cs="Times New Roman"/>
          <w:b w:val="0"/>
          <w:bCs w:val="0"/>
          <w:color w:val="auto"/>
          <w:kern w:val="2"/>
          <w:sz w:val="32"/>
          <w:szCs w:val="22"/>
          <w:highlight w:val="none"/>
          <w:lang w:val="en-US" w:eastAsia="zh-CN"/>
        </w:rPr>
        <w:t>。</w:t>
      </w:r>
      <w:r>
        <w:rPr>
          <w:rFonts w:hint="eastAsia" w:ascii="Times New Roman" w:hAnsi="Times New Roman" w:cs="Times New Roman"/>
          <w:b w:val="0"/>
          <w:bCs w:val="0"/>
          <w:color w:val="auto"/>
          <w:kern w:val="2"/>
          <w:sz w:val="32"/>
          <w:szCs w:val="22"/>
          <w:highlight w:val="none"/>
          <w:lang w:val="en-US" w:eastAsia="zh-CN"/>
        </w:rPr>
        <w:t>有序推进“小田并大田”工作，总结华港镇试点工作经验成果，制定“一村一策”方案</w:t>
      </w:r>
      <w:r>
        <w:rPr>
          <w:rFonts w:hint="eastAsia" w:cs="Times New Roman"/>
          <w:b w:val="0"/>
          <w:bCs w:val="0"/>
          <w:color w:val="auto"/>
          <w:kern w:val="2"/>
          <w:sz w:val="32"/>
          <w:szCs w:val="22"/>
          <w:highlight w:val="none"/>
          <w:lang w:val="en-US" w:eastAsia="zh-CN"/>
        </w:rPr>
        <w:t>，将</w:t>
      </w:r>
      <w:r>
        <w:rPr>
          <w:rFonts w:hint="eastAsia" w:ascii="Times New Roman" w:hAnsi="Times New Roman" w:cs="Times New Roman"/>
          <w:b w:val="0"/>
          <w:bCs w:val="0"/>
          <w:color w:val="auto"/>
          <w:kern w:val="2"/>
          <w:sz w:val="32"/>
          <w:szCs w:val="22"/>
          <w:highlight w:val="none"/>
          <w:lang w:val="en-US" w:eastAsia="zh-CN"/>
        </w:rPr>
        <w:t>土地流转与农业产业结构调整有机结合，促进土地资源集约化利用，推动农业产业规模化发展。</w:t>
      </w:r>
    </w:p>
    <w:p w14:paraId="23793E86">
      <w:pPr>
        <w:pStyle w:val="4"/>
        <w:bidi w:val="0"/>
        <w:rPr>
          <w:rFonts w:hint="default"/>
          <w:lang w:val="en-US" w:eastAsia="zh-CN"/>
        </w:rPr>
      </w:pPr>
      <w:bookmarkStart w:id="112" w:name="_Toc26380"/>
      <w:bookmarkStart w:id="113" w:name="_Toc19234"/>
      <w:bookmarkStart w:id="114" w:name="_Toc20520"/>
      <w:bookmarkStart w:id="115" w:name="_Toc15131"/>
      <w:r>
        <w:rPr>
          <w:rFonts w:hint="eastAsia"/>
          <w:lang w:val="en-US" w:eastAsia="zh-CN"/>
        </w:rPr>
        <w:t>第二节 深化</w:t>
      </w:r>
      <w:bookmarkEnd w:id="111"/>
      <w:r>
        <w:rPr>
          <w:rFonts w:hint="eastAsia"/>
          <w:lang w:val="en-US" w:eastAsia="zh-CN"/>
        </w:rPr>
        <w:t>农业农村综合改革</w:t>
      </w:r>
      <w:bookmarkEnd w:id="112"/>
      <w:bookmarkEnd w:id="113"/>
      <w:bookmarkEnd w:id="114"/>
      <w:bookmarkEnd w:id="115"/>
    </w:p>
    <w:p w14:paraId="45F10984">
      <w:pPr>
        <w:pStyle w:val="7"/>
        <w:keepNext w:val="0"/>
        <w:keepLines w:val="0"/>
        <w:pageBreakBefore w:val="0"/>
        <w:widowControl w:val="0"/>
        <w:kinsoku/>
        <w:wordWrap/>
        <w:overflowPunct/>
        <w:topLinePunct w:val="0"/>
        <w:autoSpaceDE/>
        <w:autoSpaceDN/>
        <w:bidi w:val="0"/>
        <w:adjustRightInd/>
        <w:snapToGrid/>
        <w:spacing w:after="0"/>
        <w:textAlignment w:val="auto"/>
        <w:rPr>
          <w:rFonts w:hint="eastAsia"/>
          <w:b w:val="0"/>
          <w:bCs w:val="0"/>
          <w:lang w:val="en-US" w:eastAsia="zh-CN"/>
        </w:rPr>
      </w:pPr>
      <w:r>
        <w:rPr>
          <w:rFonts w:hint="eastAsia"/>
          <w:b/>
          <w:bCs/>
          <w:color w:val="auto"/>
          <w:highlight w:val="none"/>
          <w:lang w:val="en-US" w:eastAsia="zh-CN"/>
        </w:rPr>
        <w:t>稳定和完善农村土地承包关系。</w:t>
      </w:r>
      <w:r>
        <w:rPr>
          <w:rFonts w:hint="eastAsia" w:ascii="Times New Roman" w:hAnsi="Times New Roman" w:cs="Times New Roman"/>
          <w:b w:val="0"/>
          <w:bCs w:val="0"/>
          <w:lang w:val="en-US" w:eastAsia="zh-CN"/>
        </w:rPr>
        <w:t>坚持“大稳定、小调整”原则，</w:t>
      </w:r>
      <w:r>
        <w:rPr>
          <w:rFonts w:hint="eastAsia" w:cs="Times New Roman"/>
          <w:b w:val="0"/>
          <w:bCs w:val="0"/>
          <w:lang w:val="en-US" w:eastAsia="zh-CN"/>
        </w:rPr>
        <w:t>全面开展</w:t>
      </w:r>
      <w:r>
        <w:rPr>
          <w:rFonts w:hint="eastAsia" w:ascii="Times New Roman" w:hAnsi="Times New Roman" w:cs="Times New Roman"/>
          <w:b w:val="0"/>
          <w:bCs w:val="0"/>
          <w:lang w:val="en-US" w:eastAsia="zh-CN"/>
        </w:rPr>
        <w:t>第二轮土地承包到期后再延长三十年试点工作。围绕“一年试点</w:t>
      </w:r>
      <w:r>
        <w:rPr>
          <w:rFonts w:hint="eastAsia"/>
          <w:b w:val="0"/>
          <w:bCs w:val="0"/>
          <w:lang w:val="en-US" w:eastAsia="zh-CN"/>
        </w:rPr>
        <w:t>，两年推广，一年巩固”的整体思路，稳慎推进罡杨镇二轮土地延包国家级试点工作，逐步扩大开展延包工作整镇试点范围，学习“十步工作法”“三个百分百收益补差”等延包工作程序和经验做法，妥善化解延包中的矛盾纠纷，确保绝大多数农户原有承包地总体顺延、保持稳定。巩固提升土地承包经营权确权登记颁证成果，健全承包合同日常管理、变更及纠纷调解仲裁机制，探索落实“三权分置”的有效实现形式，在稳定农户承包权的前提下，放活土地经营权，引导土地经营权有序流转，与发展适度规模经营、高标准农田建设、农业全产业链培育等相衔接。</w:t>
      </w:r>
    </w:p>
    <w:p w14:paraId="31EADE00">
      <w:pPr>
        <w:pStyle w:val="7"/>
        <w:keepNext w:val="0"/>
        <w:keepLines w:val="0"/>
        <w:pageBreakBefore w:val="0"/>
        <w:widowControl w:val="0"/>
        <w:kinsoku/>
        <w:wordWrap/>
        <w:overflowPunct/>
        <w:topLinePunct w:val="0"/>
        <w:autoSpaceDE/>
        <w:autoSpaceDN/>
        <w:bidi w:val="0"/>
        <w:adjustRightInd/>
        <w:snapToGrid/>
        <w:spacing w:after="0"/>
        <w:ind w:firstLine="643" w:firstLineChars="200"/>
        <w:textAlignment w:val="auto"/>
        <w:rPr>
          <w:rFonts w:hint="eastAsia"/>
          <w:b w:val="0"/>
          <w:bCs w:val="0"/>
          <w:lang w:val="en-US" w:eastAsia="zh-CN"/>
        </w:rPr>
      </w:pPr>
      <w:r>
        <w:rPr>
          <w:rFonts w:hint="eastAsia"/>
          <w:b/>
          <w:bCs/>
          <w:color w:val="auto"/>
          <w:highlight w:val="none"/>
          <w:lang w:val="en-US" w:eastAsia="zh-CN"/>
        </w:rPr>
        <w:t>稳慎推进农村宅基地制度改革。</w:t>
      </w:r>
      <w:r>
        <w:rPr>
          <w:rFonts w:hint="eastAsia"/>
          <w:b w:val="0"/>
          <w:bCs w:val="0"/>
          <w:lang w:val="en-US" w:eastAsia="zh-CN"/>
        </w:rPr>
        <w:t>扎实做好基础性工作，推进农村房地一体的不动产权籍调查，加快房地一体宅基地确权登记颁证。依法维护进城落户农民的土地承包权、宅基地使用权、集体收益分配权，同时探索建立宅基地有偿退出、流转和置换机制，开展宅基地管理线上审批和闲置宅基地及闲置住宅线上交易试点。推广窑头村“退一建一”成功经验，鼓励村民集中建房，将节省出的原有宅基地用于发展村集体经济，鼓励农户通过出租、入股、合作等方式，盘活存量资源用于乡村旅游、康养产业及农村新业态培育，依法盘活用好闲置土地和房屋。加强农村宅基地房屋租赁合同管理，明确双方的权利和义务，保障农户和合作方的合法权益。</w:t>
      </w:r>
    </w:p>
    <w:p w14:paraId="40A2DB89">
      <w:pPr>
        <w:pStyle w:val="7"/>
        <w:keepNext w:val="0"/>
        <w:keepLines w:val="0"/>
        <w:pageBreakBefore w:val="0"/>
        <w:widowControl/>
        <w:kinsoku/>
        <w:wordWrap/>
        <w:overflowPunct/>
        <w:topLinePunct w:val="0"/>
        <w:autoSpaceDE/>
        <w:autoSpaceDN/>
        <w:bidi w:val="0"/>
        <w:adjustRightInd/>
        <w:snapToGrid/>
        <w:spacing w:after="0"/>
        <w:textAlignment w:val="auto"/>
        <w:rPr>
          <w:rFonts w:hint="eastAsia"/>
          <w:b w:val="0"/>
          <w:bCs w:val="0"/>
          <w:color w:val="auto"/>
          <w:lang w:val="en-US" w:eastAsia="zh-CN"/>
        </w:rPr>
      </w:pPr>
      <w:r>
        <w:rPr>
          <w:rFonts w:hint="eastAsia"/>
          <w:b/>
          <w:bCs/>
          <w:color w:val="auto"/>
          <w:lang w:val="en-US" w:eastAsia="zh-CN"/>
        </w:rPr>
        <w:t>深化</w:t>
      </w:r>
      <w:r>
        <w:rPr>
          <w:rFonts w:hint="default"/>
          <w:b/>
          <w:bCs/>
          <w:color w:val="auto"/>
          <w:lang w:val="en-US" w:eastAsia="zh-CN"/>
        </w:rPr>
        <w:t>集体经营性建设用地改革</w:t>
      </w:r>
      <w:r>
        <w:rPr>
          <w:rFonts w:hint="eastAsia"/>
          <w:b/>
          <w:bCs/>
          <w:color w:val="auto"/>
          <w:lang w:val="en-US" w:eastAsia="zh-CN"/>
        </w:rPr>
        <w:t>。</w:t>
      </w:r>
      <w:r>
        <w:rPr>
          <w:rFonts w:hint="eastAsia"/>
          <w:b w:val="0"/>
          <w:bCs w:val="0"/>
          <w:color w:val="auto"/>
          <w:lang w:val="en-US" w:eastAsia="zh-CN"/>
        </w:rPr>
        <w:t>结合海陵区国土空间规划，明确集体经营性建设用地的空间布局和用途管制要求，重点在罡杨、华港等乡镇划定工业、商业等经营性用途区域，预留农村产业融合发展用地空间。以华港镇、罡杨镇为试点，推进农村集体经营性建设用地直接入市交易，与国有建设用地同权同价同责。打破城乡土地二元结构，支持村级组织依法将废弃公益性用地转为经营性用地，并通过合作联营、资产参股等方式实现土地资源市场化配置。将集体经营性建设用地重点用于农村一二三产业融合发展，重点发展农产品加工、乡村旅游、农村电商等产业，为乡村产业发展提供土地要素保障，促进农村经济发展。</w:t>
      </w:r>
    </w:p>
    <w:p w14:paraId="01CC253A">
      <w:r>
        <w:br w:type="page"/>
      </w:r>
    </w:p>
    <w:p w14:paraId="2694E213">
      <w:pPr>
        <w:pStyle w:val="3"/>
        <w:bidi w:val="0"/>
        <w:rPr>
          <w:rFonts w:hint="eastAsia"/>
          <w:lang w:val="en-US" w:eastAsia="zh-CN"/>
        </w:rPr>
      </w:pPr>
      <w:bookmarkStart w:id="116" w:name="_Toc12848"/>
      <w:bookmarkStart w:id="117" w:name="_Toc29600"/>
      <w:bookmarkStart w:id="118" w:name="_Toc941"/>
      <w:bookmarkStart w:id="119" w:name="_Toc27115"/>
      <w:r>
        <w:rPr>
          <w:rFonts w:hint="eastAsia"/>
          <w:lang w:val="en-US" w:eastAsia="zh-CN"/>
        </w:rPr>
        <w:t>第七章 保障措施</w:t>
      </w:r>
      <w:bookmarkEnd w:id="116"/>
      <w:bookmarkEnd w:id="117"/>
      <w:bookmarkEnd w:id="118"/>
      <w:bookmarkEnd w:id="119"/>
    </w:p>
    <w:p w14:paraId="0C7F6B7B">
      <w:pPr>
        <w:pStyle w:val="4"/>
        <w:bidi w:val="0"/>
        <w:rPr>
          <w:highlight w:val="none"/>
        </w:rPr>
      </w:pPr>
      <w:bookmarkStart w:id="120" w:name="_Toc21074"/>
      <w:bookmarkStart w:id="121" w:name="_Toc19111"/>
      <w:bookmarkStart w:id="122" w:name="_Toc17407"/>
      <w:r>
        <w:rPr>
          <w:rFonts w:hint="eastAsia"/>
          <w:highlight w:val="none"/>
          <w:lang w:val="en-US" w:eastAsia="zh-CN"/>
        </w:rPr>
        <w:t xml:space="preserve">第一节 </w:t>
      </w:r>
      <w:r>
        <w:rPr>
          <w:highlight w:val="none"/>
        </w:rPr>
        <w:t>加强组织领导</w:t>
      </w:r>
      <w:bookmarkEnd w:id="120"/>
      <w:bookmarkEnd w:id="121"/>
      <w:bookmarkEnd w:id="122"/>
    </w:p>
    <w:p w14:paraId="2A1485F4">
      <w:pPr>
        <w:bidi w:val="0"/>
        <w:rPr>
          <w:rFonts w:hint="default"/>
          <w:highlight w:val="none"/>
          <w:lang w:val="en-US" w:eastAsia="zh-CN"/>
        </w:rPr>
      </w:pPr>
      <w:r>
        <w:rPr>
          <w:rFonts w:hint="default"/>
          <w:lang w:val="en-US" w:eastAsia="zh-CN"/>
        </w:rPr>
        <w:t>以习近平新时代中国特色社会主义思想为根本遵循</w:t>
      </w:r>
      <w:r>
        <w:rPr>
          <w:rFonts w:hint="eastAsia"/>
          <w:lang w:val="en-US" w:eastAsia="zh-CN"/>
        </w:rPr>
        <w:t>，</w:t>
      </w:r>
      <w:r>
        <w:rPr>
          <w:rFonts w:hint="default"/>
          <w:lang w:val="en-US" w:eastAsia="zh-CN"/>
        </w:rPr>
        <w:t>充分发挥各级党组织总揽全局、协调各方的领导核心作用，严格落实</w:t>
      </w:r>
      <w:r>
        <w:rPr>
          <w:rFonts w:hint="eastAsia"/>
          <w:lang w:val="en-US" w:eastAsia="zh-CN"/>
        </w:rPr>
        <w:t>“</w:t>
      </w:r>
      <w:r>
        <w:rPr>
          <w:rFonts w:hint="default"/>
          <w:lang w:val="en-US" w:eastAsia="zh-CN"/>
        </w:rPr>
        <w:t>五级书记抓乡村振兴</w:t>
      </w:r>
      <w:r>
        <w:rPr>
          <w:rFonts w:hint="eastAsia"/>
          <w:lang w:val="en-US" w:eastAsia="zh-CN"/>
        </w:rPr>
        <w:t>”</w:t>
      </w:r>
      <w:r>
        <w:rPr>
          <w:rFonts w:hint="default"/>
          <w:lang w:val="en-US" w:eastAsia="zh-CN"/>
        </w:rPr>
        <w:t>责任机制，将党的领导贯穿</w:t>
      </w:r>
      <w:r>
        <w:rPr>
          <w:rFonts w:hint="eastAsia"/>
          <w:lang w:val="en-US" w:eastAsia="zh-CN"/>
        </w:rPr>
        <w:t>“</w:t>
      </w:r>
      <w:r>
        <w:rPr>
          <w:rFonts w:hint="default"/>
          <w:lang w:val="en-US" w:eastAsia="zh-CN"/>
        </w:rPr>
        <w:t>十五五</w:t>
      </w:r>
      <w:r>
        <w:rPr>
          <w:rFonts w:hint="eastAsia"/>
          <w:lang w:val="en-US" w:eastAsia="zh-CN"/>
        </w:rPr>
        <w:t>”</w:t>
      </w:r>
      <w:r>
        <w:rPr>
          <w:rFonts w:hint="default"/>
          <w:lang w:val="en-US" w:eastAsia="zh-CN"/>
        </w:rPr>
        <w:t>农业农村发展规划组织实施的各领域、各环节、全过程。围绕农业农村现代化目标任务，建立健全</w:t>
      </w:r>
      <w:r>
        <w:rPr>
          <w:rFonts w:hint="eastAsia"/>
          <w:lang w:val="en-US" w:eastAsia="zh-CN"/>
        </w:rPr>
        <w:t>“</w:t>
      </w:r>
      <w:r>
        <w:rPr>
          <w:rFonts w:hint="default"/>
          <w:lang w:val="en-US" w:eastAsia="zh-CN"/>
        </w:rPr>
        <w:t>党委统一领导、政府负责落实、部门协同推进、社会广泛参与</w:t>
      </w:r>
      <w:r>
        <w:rPr>
          <w:rFonts w:hint="eastAsia"/>
          <w:lang w:val="en-US" w:eastAsia="zh-CN"/>
        </w:rPr>
        <w:t>”</w:t>
      </w:r>
      <w:r>
        <w:rPr>
          <w:rFonts w:hint="default"/>
          <w:lang w:val="en-US" w:eastAsia="zh-CN"/>
        </w:rPr>
        <w:t>的工作体系，保障规划编制有序推进</w:t>
      </w:r>
      <w:r>
        <w:rPr>
          <w:rFonts w:hint="eastAsia"/>
          <w:lang w:val="en-US" w:eastAsia="zh-CN"/>
        </w:rPr>
        <w:t>。</w:t>
      </w:r>
      <w:r>
        <w:rPr>
          <w:rFonts w:hint="default"/>
          <w:lang w:val="en-US" w:eastAsia="zh-CN"/>
        </w:rPr>
        <w:t>建强干部队伍，实施农业干部能力提升计划，通过专题培训、实践锻炼、交流任职等方式，加快建设一支政治过硬、本领过硬、作风过硬的农业农村干部队伍，为全区全面推进乡村振兴和加快农业农村现代化提供坚强政治保障、组织保障和人才支撑。</w:t>
      </w:r>
    </w:p>
    <w:p w14:paraId="5EEF5282">
      <w:pPr>
        <w:pStyle w:val="4"/>
        <w:bidi w:val="0"/>
        <w:rPr>
          <w:rFonts w:hint="default" w:eastAsia="楷体"/>
          <w:highlight w:val="none"/>
          <w:lang w:val="en-US" w:eastAsia="zh-CN"/>
        </w:rPr>
      </w:pPr>
      <w:bookmarkStart w:id="123" w:name="_Toc25323"/>
      <w:bookmarkStart w:id="124" w:name="_Toc22800"/>
      <w:bookmarkStart w:id="125" w:name="_Toc10069"/>
      <w:r>
        <w:rPr>
          <w:rFonts w:hint="eastAsia"/>
          <w:highlight w:val="none"/>
          <w:lang w:val="en-US" w:eastAsia="zh-CN"/>
        </w:rPr>
        <w:t>第二节 强化要素支撑</w:t>
      </w:r>
      <w:bookmarkEnd w:id="123"/>
      <w:bookmarkEnd w:id="124"/>
      <w:bookmarkEnd w:id="125"/>
    </w:p>
    <w:p w14:paraId="2F25D2EE">
      <w:pPr>
        <w:snapToGrid/>
        <w:spacing w:line="360" w:lineRule="auto"/>
        <w:ind w:firstLine="643" w:firstLineChars="200"/>
        <w:rPr>
          <w:rFonts w:hint="default" w:ascii="Times New Roman" w:hAnsi="Times New Roman" w:eastAsia="仿宋" w:cs="Times New Roman"/>
          <w:color w:val="auto"/>
          <w:kern w:val="0"/>
          <w:sz w:val="32"/>
          <w:szCs w:val="32"/>
          <w:lang w:val="en-US" w:eastAsia="zh-CN" w:bidi="ar"/>
        </w:rPr>
      </w:pPr>
      <w:r>
        <w:rPr>
          <w:rFonts w:hint="eastAsia"/>
          <w:b/>
          <w:bCs/>
          <w:lang w:val="en-US" w:eastAsia="zh-CN"/>
        </w:rPr>
        <w:t>强化用地保障。</w:t>
      </w:r>
      <w:r>
        <w:rPr>
          <w:rFonts w:hint="default" w:ascii="Times New Roman" w:hAnsi="Times New Roman" w:eastAsia="仿宋" w:cs="Times New Roman"/>
          <w:color w:val="auto"/>
          <w:sz w:val="32"/>
          <w:szCs w:val="32"/>
          <w:lang w:val="en-US" w:eastAsia="zh-CN"/>
        </w:rPr>
        <w:t>鼓励支持村集体经济组织以自营、联营、合作开发、作价入股等方式盘活利用集体建设用地，激活农村资源潜力</w:t>
      </w:r>
      <w:r>
        <w:rPr>
          <w:rFonts w:hint="default" w:ascii="Times New Roman" w:hAnsi="Times New Roman" w:eastAsia="仿宋" w:cs="Times New Roman"/>
          <w:color w:val="auto"/>
          <w:sz w:val="32"/>
          <w:szCs w:val="32"/>
        </w:rPr>
        <w:t>。农村建设用地复垦后形成的城乡建设用地增减挂钩指标，优先保障所在村的产业、公共服务设施和村民住宅用地</w:t>
      </w:r>
      <w:r>
        <w:rPr>
          <w:rFonts w:hint="eastAsia" w:cs="Times New Roman"/>
          <w:color w:val="auto"/>
          <w:sz w:val="32"/>
          <w:szCs w:val="32"/>
          <w:lang w:val="en-US" w:eastAsia="zh-CN"/>
        </w:rPr>
        <w:t>需求</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eastAsia="zh-CN"/>
        </w:rPr>
        <w:t>农村一二三产业融合发展和农村重大项目用地，按照不低于5%新增建设用地计划安排。</w:t>
      </w:r>
      <w:r>
        <w:rPr>
          <w:rFonts w:hint="default" w:ascii="Times New Roman" w:hAnsi="Times New Roman" w:eastAsia="仿宋" w:cs="Times New Roman"/>
          <w:color w:val="auto"/>
          <w:sz w:val="32"/>
          <w:szCs w:val="32"/>
        </w:rPr>
        <w:t>积极探索实施点状供地、</w:t>
      </w:r>
      <w:r>
        <w:rPr>
          <w:rFonts w:hint="eastAsia" w:cs="Times New Roman"/>
          <w:color w:val="auto"/>
          <w:sz w:val="32"/>
          <w:szCs w:val="32"/>
          <w:lang w:eastAsia="zh-CN"/>
        </w:rPr>
        <w:t>“</w:t>
      </w:r>
      <w:r>
        <w:rPr>
          <w:rFonts w:hint="default" w:ascii="Times New Roman" w:hAnsi="Times New Roman" w:eastAsia="仿宋" w:cs="Times New Roman"/>
          <w:color w:val="auto"/>
          <w:sz w:val="32"/>
          <w:szCs w:val="32"/>
        </w:rPr>
        <w:t>农业+</w:t>
      </w:r>
      <w:r>
        <w:rPr>
          <w:rFonts w:hint="eastAsia" w:cs="Times New Roman"/>
          <w:color w:val="auto"/>
          <w:sz w:val="32"/>
          <w:szCs w:val="32"/>
          <w:lang w:eastAsia="zh-CN"/>
        </w:rPr>
        <w:t>”</w:t>
      </w:r>
      <w:r>
        <w:rPr>
          <w:rFonts w:hint="default" w:ascii="Times New Roman" w:hAnsi="Times New Roman" w:eastAsia="仿宋" w:cs="Times New Roman"/>
          <w:color w:val="auto"/>
          <w:sz w:val="32"/>
          <w:szCs w:val="32"/>
        </w:rPr>
        <w:t>混合用地等灵活供地方</w:t>
      </w:r>
      <w:r>
        <w:rPr>
          <w:rFonts w:hint="default" w:ascii="Times New Roman" w:hAnsi="Times New Roman" w:eastAsia="仿宋" w:cs="Times New Roman"/>
          <w:sz w:val="32"/>
          <w:szCs w:val="32"/>
        </w:rPr>
        <w:t>式，满足乡村产业项目和公共服务设施建设需要。</w:t>
      </w:r>
      <w:r>
        <w:rPr>
          <w:rFonts w:hint="eastAsia" w:cs="Times New Roman"/>
          <w:sz w:val="32"/>
          <w:szCs w:val="32"/>
          <w:lang w:val="en-US" w:eastAsia="zh-CN"/>
        </w:rPr>
        <w:t>探索全域</w:t>
      </w:r>
      <w:r>
        <w:rPr>
          <w:rFonts w:hint="default" w:ascii="Times New Roman" w:hAnsi="Times New Roman" w:eastAsia="仿宋" w:cs="Times New Roman"/>
          <w:sz w:val="32"/>
          <w:szCs w:val="32"/>
        </w:rPr>
        <w:t>土地综合整治，深挖耕地后备资源潜力，开展占补平衡和增减挂钩工作。</w:t>
      </w:r>
      <w:r>
        <w:rPr>
          <w:rFonts w:hint="default" w:ascii="Times New Roman" w:hAnsi="Times New Roman" w:eastAsia="仿宋" w:cs="Times New Roman"/>
          <w:color w:val="auto"/>
          <w:sz w:val="32"/>
          <w:szCs w:val="32"/>
        </w:rPr>
        <w:t>对经营主体的土地承包、</w:t>
      </w:r>
      <w:r>
        <w:rPr>
          <w:rFonts w:hint="default" w:ascii="Times New Roman" w:hAnsi="Times New Roman" w:eastAsia="仿宋" w:cs="Times New Roman"/>
          <w:color w:val="auto"/>
          <w:sz w:val="32"/>
          <w:szCs w:val="32"/>
          <w:lang w:val="en-US" w:eastAsia="zh-CN"/>
        </w:rPr>
        <w:t>农业</w:t>
      </w:r>
      <w:r>
        <w:rPr>
          <w:rFonts w:hint="default" w:ascii="Times New Roman" w:hAnsi="Times New Roman" w:eastAsia="仿宋" w:cs="Times New Roman"/>
          <w:color w:val="auto"/>
          <w:sz w:val="32"/>
          <w:szCs w:val="32"/>
        </w:rPr>
        <w:t>设施用地申请等土地方面的需求，应在合法合规的前提下，为其开通绿色通道服务，支持</w:t>
      </w:r>
      <w:r>
        <w:rPr>
          <w:rFonts w:hint="eastAsia" w:cs="Times New Roman"/>
          <w:color w:val="auto"/>
          <w:sz w:val="32"/>
          <w:szCs w:val="32"/>
          <w:lang w:val="en-US" w:eastAsia="zh-CN"/>
        </w:rPr>
        <w:t>相关</w:t>
      </w:r>
      <w:r>
        <w:rPr>
          <w:rFonts w:hint="default" w:ascii="Times New Roman" w:hAnsi="Times New Roman" w:eastAsia="仿宋" w:cs="Times New Roman"/>
          <w:color w:val="auto"/>
          <w:sz w:val="32"/>
          <w:szCs w:val="32"/>
        </w:rPr>
        <w:t>项目发展。</w:t>
      </w:r>
    </w:p>
    <w:p w14:paraId="055ADE17">
      <w:pPr>
        <w:bidi w:val="0"/>
        <w:rPr>
          <w:rFonts w:hint="eastAsia"/>
          <w:lang w:val="en-US" w:eastAsia="zh-CN"/>
        </w:rPr>
      </w:pPr>
      <w:r>
        <w:rPr>
          <w:rFonts w:hint="eastAsia"/>
          <w:b/>
          <w:bCs/>
          <w:lang w:val="en-US" w:eastAsia="zh-CN"/>
        </w:rPr>
        <w:t>强化资金保障。</w:t>
      </w:r>
      <w:r>
        <w:rPr>
          <w:rFonts w:hint="default"/>
          <w:lang w:val="en-US" w:eastAsia="zh-CN"/>
        </w:rPr>
        <w:t>将农业农村作为一般公共预算优先保障领域</w:t>
      </w:r>
      <w:r>
        <w:rPr>
          <w:rFonts w:hint="eastAsia"/>
          <w:lang w:val="en-US" w:eastAsia="zh-CN"/>
        </w:rPr>
        <w:t>，</w:t>
      </w:r>
      <w:r>
        <w:rPr>
          <w:rFonts w:hint="default"/>
          <w:lang w:val="en-US" w:eastAsia="zh-CN"/>
        </w:rPr>
        <w:t>对相关项目优先给予资金安排，严格落实土地出让收入10%以上、收益50%以上用于农业农村发展，发挥专项资金杠杆和政策引导效应；落实惠农补贴政策，对重点产业关键链条、发展短板，在财政允许范围内给予定向奖补，撬动民间资金投入，同时统筹财政、土地收益、专项债、信贷等多渠道资金，支持乡村振兴示范镇、宜居宜业和美乡村建设。深化</w:t>
      </w:r>
      <w:r>
        <w:rPr>
          <w:rFonts w:hint="eastAsia"/>
          <w:lang w:val="en-US" w:eastAsia="zh-CN"/>
        </w:rPr>
        <w:t>“</w:t>
      </w:r>
      <w:r>
        <w:rPr>
          <w:rFonts w:hint="default"/>
          <w:lang w:val="en-US" w:eastAsia="zh-CN"/>
        </w:rPr>
        <w:t>泰惠农 金融服务乡村振兴</w:t>
      </w:r>
      <w:r>
        <w:rPr>
          <w:rFonts w:hint="eastAsia"/>
          <w:lang w:val="en-US" w:eastAsia="zh-CN"/>
        </w:rPr>
        <w:t>”</w:t>
      </w:r>
      <w:r>
        <w:rPr>
          <w:rFonts w:hint="default"/>
          <w:lang w:val="en-US" w:eastAsia="zh-CN"/>
        </w:rPr>
        <w:t>，建强政策性农担体系，构建</w:t>
      </w:r>
      <w:r>
        <w:rPr>
          <w:rFonts w:hint="eastAsia"/>
          <w:lang w:val="en-US" w:eastAsia="zh-CN"/>
        </w:rPr>
        <w:t>“</w:t>
      </w:r>
      <w:r>
        <w:rPr>
          <w:rFonts w:hint="default"/>
          <w:lang w:val="en-US" w:eastAsia="zh-CN"/>
        </w:rPr>
        <w:t>多层次、广覆盖、可持续、风险可控</w:t>
      </w:r>
      <w:r>
        <w:rPr>
          <w:rFonts w:hint="eastAsia"/>
          <w:lang w:val="en-US" w:eastAsia="zh-CN"/>
        </w:rPr>
        <w:t>”</w:t>
      </w:r>
      <w:r>
        <w:rPr>
          <w:rFonts w:hint="default"/>
          <w:lang w:val="en-US" w:eastAsia="zh-CN"/>
        </w:rPr>
        <w:t>的农村金融服务体系，提升金融对粮食安全、乡村产业等重点领域的支撑效能</w:t>
      </w:r>
      <w:r>
        <w:rPr>
          <w:rFonts w:hint="eastAsia"/>
          <w:lang w:val="en-US" w:eastAsia="zh-CN"/>
        </w:rPr>
        <w:t>。</w:t>
      </w:r>
    </w:p>
    <w:p w14:paraId="40316BBE">
      <w:pPr>
        <w:bidi w:val="0"/>
        <w:rPr>
          <w:rFonts w:hint="default"/>
          <w:b/>
          <w:bCs/>
          <w:highlight w:val="none"/>
          <w:lang w:val="en-US" w:eastAsia="zh-CN"/>
        </w:rPr>
      </w:pPr>
      <w:r>
        <w:rPr>
          <w:rFonts w:hint="eastAsia"/>
          <w:b/>
          <w:bCs/>
          <w:highlight w:val="none"/>
          <w:lang w:val="en-US" w:eastAsia="zh-CN"/>
        </w:rPr>
        <w:t>强化政策保障。</w:t>
      </w:r>
      <w:r>
        <w:rPr>
          <w:rFonts w:hint="eastAsia" w:ascii="Times New Roman" w:hAnsi="Times New Roman" w:cs="Times New Roman"/>
          <w:highlight w:val="none"/>
          <w:lang w:val="en-US" w:eastAsia="zh-CN"/>
        </w:rPr>
        <w:t>从</w:t>
      </w:r>
      <w:r>
        <w:rPr>
          <w:rFonts w:hint="eastAsia" w:cs="Times New Roman"/>
          <w:highlight w:val="none"/>
          <w:lang w:val="en-US" w:eastAsia="zh-CN"/>
        </w:rPr>
        <w:t>财政、用地</w:t>
      </w:r>
      <w:r>
        <w:rPr>
          <w:rFonts w:hint="eastAsia" w:ascii="Times New Roman" w:hAnsi="Times New Roman" w:cs="Times New Roman"/>
          <w:highlight w:val="none"/>
          <w:lang w:val="en-US" w:eastAsia="zh-CN"/>
        </w:rPr>
        <w:t>、</w:t>
      </w:r>
      <w:r>
        <w:rPr>
          <w:rFonts w:hint="eastAsia" w:cs="Times New Roman"/>
          <w:highlight w:val="none"/>
          <w:lang w:val="en-US" w:eastAsia="zh-CN"/>
        </w:rPr>
        <w:t>金融、</w:t>
      </w:r>
      <w:r>
        <w:rPr>
          <w:rFonts w:hint="eastAsia" w:ascii="Times New Roman" w:hAnsi="Times New Roman" w:cs="Times New Roman"/>
          <w:highlight w:val="none"/>
          <w:lang w:val="en-US" w:eastAsia="zh-CN"/>
        </w:rPr>
        <w:t>人才等方面</w:t>
      </w:r>
      <w:r>
        <w:rPr>
          <w:rFonts w:hint="eastAsia" w:cs="Times New Roman"/>
          <w:highlight w:val="none"/>
          <w:lang w:val="en-US" w:eastAsia="zh-CN"/>
        </w:rPr>
        <w:t>出台各项政策，为农业农村</w:t>
      </w:r>
      <w:r>
        <w:rPr>
          <w:rFonts w:hint="eastAsia" w:ascii="Times New Roman" w:hAnsi="Times New Roman" w:cs="Times New Roman"/>
          <w:highlight w:val="none"/>
          <w:lang w:val="en-US" w:eastAsia="zh-CN"/>
        </w:rPr>
        <w:t>发展提供稳定、精准、长效的政策支撑。将各级</w:t>
      </w:r>
      <w:r>
        <w:rPr>
          <w:rFonts w:hint="eastAsia" w:ascii="Times New Roman" w:hAnsi="Times New Roman" w:cs="Times New Roman"/>
          <w:color w:val="auto"/>
          <w:highlight w:val="none"/>
          <w:lang w:val="en-US" w:eastAsia="zh-CN"/>
        </w:rPr>
        <w:t>涉农优惠政策落实到具体的招商政策中，</w:t>
      </w:r>
      <w:r>
        <w:rPr>
          <w:rFonts w:hint="eastAsia" w:cs="Times New Roman"/>
          <w:color w:val="auto"/>
          <w:highlight w:val="none"/>
          <w:lang w:val="en-US" w:eastAsia="zh-CN"/>
        </w:rPr>
        <w:t>对于</w:t>
      </w:r>
      <w:r>
        <w:rPr>
          <w:rFonts w:hint="eastAsia" w:ascii="Times New Roman" w:hAnsi="Times New Roman" w:cs="Times New Roman"/>
          <w:color w:val="auto"/>
          <w:highlight w:val="none"/>
          <w:lang w:val="en-US" w:eastAsia="zh-CN"/>
        </w:rPr>
        <w:t>重点农业项目享受工业企业招商引资同等优惠政策</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加</w:t>
      </w:r>
      <w:r>
        <w:rPr>
          <w:rFonts w:hint="eastAsia" w:cs="Times New Roman"/>
          <w:color w:val="auto"/>
          <w:highlight w:val="none"/>
          <w:lang w:val="en-US" w:eastAsia="zh-CN"/>
        </w:rPr>
        <w:t>强</w:t>
      </w:r>
      <w:r>
        <w:rPr>
          <w:rFonts w:hint="eastAsia" w:ascii="Times New Roman" w:hAnsi="Times New Roman" w:cs="Times New Roman"/>
          <w:color w:val="auto"/>
          <w:highlight w:val="none"/>
          <w:lang w:val="en-US" w:eastAsia="zh-CN"/>
        </w:rPr>
        <w:t>对相关企业的吸引力。</w:t>
      </w:r>
      <w:r>
        <w:rPr>
          <w:rFonts w:hint="default" w:ascii="Times New Roman" w:hAnsi="Times New Roman" w:cs="Times New Roman"/>
          <w:color w:val="auto"/>
          <w:highlight w:val="none"/>
          <w:lang w:val="en-US" w:eastAsia="zh-CN"/>
        </w:rPr>
        <w:t>持续深化农业水价改革，加大精准补贴、节水奖励和阶梯式水价调节幅度，促进农业节水增效。大力</w:t>
      </w:r>
      <w:r>
        <w:rPr>
          <w:rFonts w:hint="eastAsia" w:cs="Times New Roman"/>
          <w:color w:val="auto"/>
          <w:highlight w:val="none"/>
          <w:lang w:val="en-US" w:eastAsia="zh-CN"/>
        </w:rPr>
        <w:t>培育</w:t>
      </w:r>
      <w:r>
        <w:rPr>
          <w:rFonts w:hint="default" w:ascii="Times New Roman" w:hAnsi="Times New Roman" w:cs="Times New Roman"/>
          <w:color w:val="auto"/>
          <w:highlight w:val="none"/>
          <w:lang w:val="en-US" w:eastAsia="zh-CN"/>
        </w:rPr>
        <w:t>农技推广人才、新型职业农民、乡村治理人才、农村电商人才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吸引大学生、退役军人、企业家等返乡创业</w:t>
      </w:r>
      <w:r>
        <w:rPr>
          <w:rFonts w:hint="eastAsia" w:cs="Times New Roman"/>
          <w:color w:val="auto"/>
          <w:highlight w:val="none"/>
          <w:lang w:val="en-US" w:eastAsia="zh-CN"/>
        </w:rPr>
        <w:t>，支持利用闲置宅基地、闲置校舍、闲置厂房、集体经营性建设用地发展创业项目，对创业创新项目优先给予政策倾斜、资金扶持、要素保障。</w:t>
      </w:r>
    </w:p>
    <w:p w14:paraId="71AB0EFF">
      <w:pPr>
        <w:pStyle w:val="4"/>
        <w:bidi w:val="0"/>
        <w:rPr>
          <w:rFonts w:hint="default" w:eastAsia="楷体"/>
          <w:highlight w:val="none"/>
          <w:lang w:val="en-US" w:eastAsia="zh-CN"/>
        </w:rPr>
      </w:pPr>
      <w:bookmarkStart w:id="126" w:name="_Toc19334"/>
      <w:bookmarkStart w:id="127" w:name="_Toc359"/>
      <w:bookmarkStart w:id="128" w:name="_Toc3538"/>
      <w:r>
        <w:rPr>
          <w:rFonts w:hint="eastAsia"/>
          <w:highlight w:val="none"/>
          <w:lang w:val="en-US" w:eastAsia="zh-CN"/>
        </w:rPr>
        <w:t>第三节 完善实施保障</w:t>
      </w:r>
      <w:bookmarkEnd w:id="126"/>
      <w:bookmarkEnd w:id="127"/>
      <w:bookmarkEnd w:id="128"/>
    </w:p>
    <w:p w14:paraId="535F0846">
      <w:pPr>
        <w:ind w:firstLine="640"/>
        <w:rPr>
          <w:rFonts w:hint="eastAsia"/>
          <w:b w:val="0"/>
          <w:bCs w:val="0"/>
          <w:color w:val="auto"/>
          <w:lang w:val="en-US" w:eastAsia="zh-CN"/>
        </w:rPr>
      </w:pPr>
      <w:r>
        <w:rPr>
          <w:rFonts w:hint="default"/>
          <w:b w:val="0"/>
          <w:bCs w:val="0"/>
          <w:color w:val="auto"/>
          <w:lang w:val="en-US" w:eastAsia="zh-CN"/>
        </w:rPr>
        <w:t>将农业农村工作全面纳入乡村振兴战略实绩综合考核，构建科学高效的监测考核体系</w:t>
      </w:r>
      <w:r>
        <w:rPr>
          <w:rFonts w:hint="eastAsia"/>
          <w:b w:val="0"/>
          <w:bCs w:val="0"/>
          <w:color w:val="auto"/>
          <w:lang w:val="en-US" w:eastAsia="zh-CN"/>
        </w:rPr>
        <w:t>，</w:t>
      </w:r>
      <w:r>
        <w:rPr>
          <w:rFonts w:hint="default"/>
          <w:b w:val="0"/>
          <w:bCs w:val="0"/>
          <w:color w:val="auto"/>
          <w:lang w:val="en-US" w:eastAsia="zh-CN"/>
        </w:rPr>
        <w:t>完善综合考评机制，制定出台党政领导班子和领导干部农业农村工作实绩考核</w:t>
      </w:r>
      <w:r>
        <w:rPr>
          <w:rFonts w:hint="eastAsia"/>
          <w:b w:val="0"/>
          <w:bCs w:val="0"/>
          <w:color w:val="auto"/>
          <w:lang w:val="en-US" w:eastAsia="zh-CN"/>
        </w:rPr>
        <w:t>专项</w:t>
      </w:r>
      <w:r>
        <w:rPr>
          <w:rFonts w:hint="default"/>
          <w:b w:val="0"/>
          <w:bCs w:val="0"/>
          <w:color w:val="auto"/>
          <w:lang w:val="en-US" w:eastAsia="zh-CN"/>
        </w:rPr>
        <w:t>意见。健全考核激励机制，将考核结果与领导干部选拔任用、评先评优</w:t>
      </w:r>
      <w:r>
        <w:rPr>
          <w:rFonts w:hint="eastAsia"/>
          <w:b w:val="0"/>
          <w:bCs w:val="0"/>
          <w:color w:val="auto"/>
          <w:lang w:val="en-US" w:eastAsia="zh-CN"/>
        </w:rPr>
        <w:t>、职级晋升</w:t>
      </w:r>
      <w:r>
        <w:rPr>
          <w:rFonts w:hint="default"/>
          <w:b w:val="0"/>
          <w:bCs w:val="0"/>
          <w:color w:val="auto"/>
          <w:lang w:val="en-US" w:eastAsia="zh-CN"/>
        </w:rPr>
        <w:t>直接挂钩，通过常态化监测</w:t>
      </w:r>
      <w:r>
        <w:rPr>
          <w:rFonts w:hint="eastAsia"/>
          <w:b w:val="0"/>
          <w:bCs w:val="0"/>
          <w:color w:val="auto"/>
          <w:lang w:val="en-US" w:eastAsia="zh-CN"/>
        </w:rPr>
        <w:t>、精准化</w:t>
      </w:r>
      <w:r>
        <w:rPr>
          <w:rFonts w:hint="default"/>
          <w:b w:val="0"/>
          <w:bCs w:val="0"/>
          <w:color w:val="auto"/>
          <w:lang w:val="en-US" w:eastAsia="zh-CN"/>
        </w:rPr>
        <w:t>考核，各层级落实发展责任、细化推进措施、加大投入力度、强化要素保障，推动</w:t>
      </w:r>
      <w:r>
        <w:rPr>
          <w:rFonts w:hint="eastAsia"/>
          <w:b w:val="0"/>
          <w:bCs w:val="0"/>
          <w:color w:val="auto"/>
          <w:lang w:val="en-US" w:eastAsia="zh-CN"/>
        </w:rPr>
        <w:t>“</w:t>
      </w:r>
      <w:r>
        <w:rPr>
          <w:rFonts w:hint="default"/>
          <w:b w:val="0"/>
          <w:bCs w:val="0"/>
          <w:color w:val="auto"/>
          <w:lang w:val="en-US" w:eastAsia="zh-CN"/>
        </w:rPr>
        <w:t>四到位</w:t>
      </w:r>
      <w:r>
        <w:rPr>
          <w:rFonts w:hint="eastAsia"/>
          <w:b w:val="0"/>
          <w:bCs w:val="0"/>
          <w:color w:val="auto"/>
          <w:lang w:val="en-US" w:eastAsia="zh-CN"/>
        </w:rPr>
        <w:t>”</w:t>
      </w:r>
      <w:r>
        <w:rPr>
          <w:rFonts w:hint="default"/>
          <w:b w:val="0"/>
          <w:bCs w:val="0"/>
          <w:color w:val="auto"/>
          <w:lang w:val="en-US" w:eastAsia="zh-CN"/>
        </w:rPr>
        <w:t>落地见效，筑牢</w:t>
      </w:r>
      <w:r>
        <w:rPr>
          <w:rFonts w:hint="eastAsia"/>
          <w:b w:val="0"/>
          <w:bCs w:val="0"/>
          <w:color w:val="auto"/>
          <w:lang w:val="en-US" w:eastAsia="zh-CN"/>
        </w:rPr>
        <w:t>“</w:t>
      </w:r>
      <w:r>
        <w:rPr>
          <w:rFonts w:hint="default"/>
          <w:b w:val="0"/>
          <w:bCs w:val="0"/>
          <w:color w:val="auto"/>
          <w:lang w:val="en-US" w:eastAsia="zh-CN"/>
        </w:rPr>
        <w:t>一级抓一级、层层抓落实</w:t>
      </w:r>
      <w:r>
        <w:rPr>
          <w:rFonts w:hint="eastAsia"/>
          <w:b w:val="0"/>
          <w:bCs w:val="0"/>
          <w:color w:val="auto"/>
          <w:lang w:val="en-US" w:eastAsia="zh-CN"/>
        </w:rPr>
        <w:t>”</w:t>
      </w:r>
      <w:r>
        <w:rPr>
          <w:rFonts w:hint="default"/>
          <w:b w:val="0"/>
          <w:bCs w:val="0"/>
          <w:color w:val="auto"/>
          <w:lang w:val="en-US" w:eastAsia="zh-CN"/>
        </w:rPr>
        <w:t>的规划执行工作格局</w:t>
      </w:r>
      <w:r>
        <w:rPr>
          <w:rFonts w:hint="eastAsia"/>
          <w:b w:val="0"/>
          <w:bCs w:val="0"/>
          <w:color w:val="auto"/>
          <w:lang w:val="en-US" w:eastAsia="zh-CN"/>
        </w:rPr>
        <w:t>，</w:t>
      </w:r>
      <w:r>
        <w:rPr>
          <w:rFonts w:hint="default"/>
          <w:b w:val="0"/>
          <w:bCs w:val="0"/>
          <w:color w:val="auto"/>
          <w:lang w:val="en-US" w:eastAsia="zh-CN"/>
        </w:rPr>
        <w:t>通过专题会议会商、工作简报通报、现场督导整改等形式及时跟进问效，确保规划实施全程可溯、进度可控、成效可评</w:t>
      </w:r>
      <w:r>
        <w:rPr>
          <w:rFonts w:hint="eastAsia"/>
          <w:b w:val="0"/>
          <w:bCs w:val="0"/>
          <w:color w:val="auto"/>
          <w:lang w:val="en-US" w:eastAsia="zh-CN"/>
        </w:rPr>
        <w:t>。</w:t>
      </w:r>
    </w:p>
    <w:p w14:paraId="685B32DA">
      <w:pPr>
        <w:rPr>
          <w:rFonts w:hint="eastAsia"/>
          <w:b w:val="0"/>
          <w:bCs w:val="0"/>
          <w:color w:val="auto"/>
          <w:lang w:val="en-US" w:eastAsia="zh-CN"/>
        </w:rPr>
      </w:pPr>
      <w:r>
        <w:rPr>
          <w:rFonts w:hint="eastAsia"/>
          <w:b w:val="0"/>
          <w:bCs w:val="0"/>
          <w:color w:val="auto"/>
          <w:lang w:val="en-US" w:eastAsia="zh-CN"/>
        </w:rPr>
        <w:br w:type="page"/>
      </w:r>
    </w:p>
    <w:p w14:paraId="6FA1BF58">
      <w:pPr>
        <w:pStyle w:val="3"/>
        <w:bidi w:val="0"/>
        <w:jc w:val="left"/>
        <w:rPr>
          <w:rFonts w:hint="default" w:ascii="Times New Roman" w:hAnsi="Times New Roman" w:cs="Times New Roman"/>
          <w:color w:val="auto"/>
          <w:lang w:val="en-US" w:eastAsia="zh-CN"/>
        </w:rPr>
      </w:pPr>
      <w:bookmarkStart w:id="129" w:name="_Toc22875"/>
      <w:bookmarkStart w:id="130" w:name="_Toc25952"/>
      <w:r>
        <w:rPr>
          <w:rFonts w:hint="eastAsia" w:ascii="Times New Roman" w:hAnsi="Times New Roman" w:cs="Times New Roman"/>
          <w:color w:val="auto"/>
          <w:lang w:val="en-US" w:eastAsia="zh-CN"/>
        </w:rPr>
        <w:t>附件</w:t>
      </w:r>
      <w:bookmarkEnd w:id="129"/>
      <w:bookmarkEnd w:id="130"/>
    </w:p>
    <w:p w14:paraId="4D0A4248">
      <w:pPr>
        <w:pStyle w:val="4"/>
        <w:bidi w:val="0"/>
        <w:rPr>
          <w:rFonts w:hint="eastAsia" w:ascii="Times New Roman" w:hAnsi="Times New Roman" w:cs="Times New Roman"/>
          <w:highlight w:val="none"/>
          <w:lang w:val="en-US" w:eastAsia="zh-CN"/>
        </w:rPr>
      </w:pPr>
      <w:bookmarkStart w:id="131" w:name="_Toc10306"/>
      <w:r>
        <w:rPr>
          <w:rFonts w:hint="eastAsia" w:ascii="Times New Roman" w:hAnsi="Times New Roman" w:cs="Times New Roman"/>
          <w:highlight w:val="none"/>
          <w:lang w:val="en-US" w:eastAsia="zh-CN"/>
        </w:rPr>
        <w:t>“十五五”期间农业农村重点建设项目</w:t>
      </w:r>
      <w:bookmarkEnd w:id="131"/>
    </w:p>
    <w:p w14:paraId="102919E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ind w:leftChars="0" w:firstLine="560" w:firstLineChars="200"/>
        <w:textAlignment w:val="auto"/>
        <w:rPr>
          <w:rFonts w:hint="eastAsia" w:ascii="Times New Roman" w:hAnsi="Times New Roman" w:eastAsia="仿宋" w:cs="仿宋"/>
          <w:sz w:val="28"/>
          <w:szCs w:val="21"/>
          <w:lang w:val="en-US" w:eastAsia="zh-CN"/>
        </w:rPr>
      </w:pPr>
      <w:r>
        <w:rPr>
          <w:rFonts w:hint="eastAsia" w:ascii="Times New Roman" w:hAnsi="Times New Roman" w:eastAsia="仿宋" w:cs="仿宋"/>
          <w:sz w:val="28"/>
          <w:szCs w:val="21"/>
          <w:lang w:val="en-US" w:eastAsia="zh-CN"/>
        </w:rPr>
        <w:t>结合海陵区“十五五”总体思路、主要目标和重点任务，围绕农业基础设施、</w:t>
      </w:r>
      <w:r>
        <w:rPr>
          <w:rFonts w:hint="eastAsia" w:ascii="Times New Roman" w:hAnsi="Times New Roman" w:cs="仿宋"/>
          <w:sz w:val="28"/>
          <w:szCs w:val="21"/>
          <w:lang w:val="en-US" w:eastAsia="zh-CN"/>
        </w:rPr>
        <w:t>闲置资源利用、社会化服务</w:t>
      </w:r>
      <w:r>
        <w:rPr>
          <w:rFonts w:hint="eastAsia" w:ascii="Times New Roman" w:hAnsi="Times New Roman" w:eastAsia="仿宋" w:cs="仿宋"/>
          <w:sz w:val="28"/>
          <w:szCs w:val="21"/>
          <w:lang w:val="en-US" w:eastAsia="zh-CN"/>
        </w:rPr>
        <w:t>体系、加工流通等重点领域，设置以下项目。</w:t>
      </w:r>
    </w:p>
    <w:p w14:paraId="568582E4">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仿宋"/>
          <w:b/>
          <w:bCs w:val="0"/>
          <w:sz w:val="28"/>
          <w:szCs w:val="28"/>
          <w:lang w:val="en-US" w:eastAsia="zh-CN"/>
        </w:rPr>
      </w:pPr>
      <w:r>
        <w:rPr>
          <w:rFonts w:hint="eastAsia" w:ascii="Times New Roman" w:hAnsi="Times New Roman" w:eastAsia="仿宋" w:cs="仿宋"/>
          <w:b/>
          <w:bCs w:val="0"/>
          <w:sz w:val="28"/>
          <w:szCs w:val="28"/>
          <w:lang w:val="en-US" w:eastAsia="zh-CN"/>
        </w:rPr>
        <w:t>一、高标准农田智慧示范方建设</w:t>
      </w:r>
    </w:p>
    <w:p w14:paraId="4EE8B8D3">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Cs/>
          <w:kern w:val="2"/>
          <w:sz w:val="28"/>
          <w:szCs w:val="28"/>
          <w:lang w:val="en-US" w:eastAsia="zh-CN" w:bidi="ar-SA"/>
        </w:rPr>
      </w:pPr>
      <w:r>
        <w:rPr>
          <w:rFonts w:hint="eastAsia" w:ascii="Times New Roman" w:hAnsi="Times New Roman" w:eastAsia="仿宋" w:cs="仿宋"/>
          <w:bCs/>
          <w:kern w:val="2"/>
          <w:sz w:val="28"/>
          <w:szCs w:val="28"/>
          <w:lang w:val="en-US" w:eastAsia="zh-CN" w:bidi="ar-SA"/>
        </w:rPr>
        <w:t>在高标准农田建设基础上，按照“全域感知、数字决策、精准作业、云端管控”的理念，推进高标准农田智慧示范方建设，构建“看得见、算得准、管得好、可追溯”的现代智慧农业新模式。</w:t>
      </w:r>
    </w:p>
    <w:p w14:paraId="29CD6ADA">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Cs/>
          <w:kern w:val="2"/>
          <w:sz w:val="28"/>
          <w:szCs w:val="28"/>
          <w:lang w:val="en-US" w:eastAsia="zh-CN" w:bidi="ar-SA"/>
        </w:rPr>
      </w:pPr>
      <w:r>
        <w:rPr>
          <w:rFonts w:hint="eastAsia" w:eastAsia="仿宋" w:cs="仿宋"/>
          <w:b/>
          <w:bCs w:val="0"/>
          <w:kern w:val="2"/>
          <w:sz w:val="28"/>
          <w:szCs w:val="28"/>
          <w:lang w:val="en-US" w:eastAsia="zh-CN" w:bidi="ar-SA"/>
        </w:rPr>
        <w:t>（1）</w:t>
      </w:r>
      <w:r>
        <w:rPr>
          <w:rFonts w:hint="eastAsia" w:ascii="Times New Roman" w:hAnsi="Times New Roman" w:eastAsia="仿宋" w:cs="仿宋"/>
          <w:b/>
          <w:bCs w:val="0"/>
          <w:kern w:val="2"/>
          <w:sz w:val="28"/>
          <w:szCs w:val="28"/>
          <w:lang w:val="en-US" w:eastAsia="zh-CN" w:bidi="ar-SA"/>
        </w:rPr>
        <w:t>农情信息立体化感知。</w:t>
      </w:r>
      <w:r>
        <w:rPr>
          <w:rFonts w:hint="eastAsia" w:ascii="Times New Roman" w:hAnsi="Times New Roman" w:eastAsia="仿宋" w:cs="仿宋"/>
          <w:bCs/>
          <w:kern w:val="2"/>
          <w:sz w:val="28"/>
          <w:szCs w:val="28"/>
          <w:lang w:val="en-US" w:eastAsia="zh-CN" w:bidi="ar-SA"/>
        </w:rPr>
        <w:t>依托物联网、卫星遥感、无人机、地面传感器等技术，搭建空天地一体化农情监测网络。布设土壤墒情、气象环境、病虫害、苗情长势等智能监测设备，实现对农田环境、作物生长、田间灾情的全天候、全覆盖、实时化监测，全面采集农田基础数据，为精准种植、科学管理、智能决策提供数据支撑。</w:t>
      </w:r>
    </w:p>
    <w:p w14:paraId="07C80A50">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Cs/>
          <w:kern w:val="2"/>
          <w:sz w:val="28"/>
          <w:szCs w:val="28"/>
          <w:lang w:val="en-US" w:eastAsia="zh-CN" w:bidi="ar-SA"/>
        </w:rPr>
      </w:pPr>
      <w:r>
        <w:rPr>
          <w:rFonts w:hint="eastAsia" w:eastAsia="仿宋" w:cs="仿宋"/>
          <w:b/>
          <w:bCs w:val="0"/>
          <w:kern w:val="2"/>
          <w:sz w:val="28"/>
          <w:szCs w:val="28"/>
          <w:lang w:val="en-US" w:eastAsia="zh-CN" w:bidi="ar-SA"/>
        </w:rPr>
        <w:t>（2）</w:t>
      </w:r>
      <w:r>
        <w:rPr>
          <w:rFonts w:hint="eastAsia" w:ascii="Times New Roman" w:hAnsi="Times New Roman" w:eastAsia="仿宋" w:cs="仿宋"/>
          <w:b/>
          <w:bCs w:val="0"/>
          <w:kern w:val="2"/>
          <w:sz w:val="28"/>
          <w:szCs w:val="28"/>
          <w:lang w:val="en-US" w:eastAsia="zh-CN" w:bidi="ar-SA"/>
        </w:rPr>
        <w:t>农作处方数字化设计。</w:t>
      </w:r>
      <w:r>
        <w:rPr>
          <w:rFonts w:hint="eastAsia" w:ascii="Times New Roman" w:hAnsi="Times New Roman" w:eastAsia="仿宋" w:cs="仿宋"/>
          <w:bCs/>
          <w:kern w:val="2"/>
          <w:sz w:val="28"/>
          <w:szCs w:val="28"/>
          <w:lang w:val="en-US" w:eastAsia="zh-CN" w:bidi="ar-SA"/>
        </w:rPr>
        <w:t>基于感知数据、土壤数据、历史生产数据，运用大数据分析与模型算法，开展数字化农作处方设计。围绕品种布局、施肥、灌溉、植保等关键环节，形成分区精准作业处方图，实现因地施策、因苗管理、按需供给，推动农业生产由“经验型”向“数据型、精准型”转变，提升资源利用效率与农产品品质。</w:t>
      </w:r>
    </w:p>
    <w:p w14:paraId="56C027B8">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Cs/>
          <w:kern w:val="2"/>
          <w:sz w:val="28"/>
          <w:szCs w:val="28"/>
          <w:lang w:val="en-US" w:eastAsia="zh-CN" w:bidi="ar-SA"/>
        </w:rPr>
      </w:pPr>
      <w:r>
        <w:rPr>
          <w:rFonts w:hint="eastAsia" w:eastAsia="仿宋" w:cs="仿宋"/>
          <w:b/>
          <w:bCs w:val="0"/>
          <w:kern w:val="2"/>
          <w:sz w:val="28"/>
          <w:szCs w:val="28"/>
          <w:lang w:val="en-US" w:eastAsia="zh-CN" w:bidi="ar-SA"/>
        </w:rPr>
        <w:t>（3）</w:t>
      </w:r>
      <w:r>
        <w:rPr>
          <w:rFonts w:hint="eastAsia" w:ascii="Times New Roman" w:hAnsi="Times New Roman" w:eastAsia="仿宋" w:cs="仿宋"/>
          <w:b/>
          <w:bCs w:val="0"/>
          <w:kern w:val="2"/>
          <w:sz w:val="28"/>
          <w:szCs w:val="28"/>
          <w:lang w:val="en-US" w:eastAsia="zh-CN" w:bidi="ar-SA"/>
        </w:rPr>
        <w:t>农田管理精准化作业。</w:t>
      </w:r>
      <w:r>
        <w:rPr>
          <w:rFonts w:hint="eastAsia" w:ascii="Times New Roman" w:hAnsi="Times New Roman" w:eastAsia="仿宋" w:cs="仿宋"/>
          <w:bCs/>
          <w:kern w:val="2"/>
          <w:sz w:val="28"/>
          <w:szCs w:val="28"/>
          <w:lang w:val="en-US" w:eastAsia="zh-CN" w:bidi="ar-SA"/>
        </w:rPr>
        <w:t>配套推广智能农机、无人农机、水肥一体化、绿色防控等现代化装备与技术，开展精准播种、精准施肥、精准灌溉、精准植保等作业。推进农机作业智能调度、田间作业全程留痕、生产环节闭环管理，实现农田管理精准化、高效化、减量化、绿色化，全面提升万亩示范方智能化作业水平。</w:t>
      </w:r>
    </w:p>
    <w:p w14:paraId="6C8CD8AA">
      <w:pPr>
        <w:pStyle w:val="2"/>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 w:cs="仿宋"/>
          <w:bCs/>
          <w:kern w:val="2"/>
          <w:sz w:val="28"/>
          <w:szCs w:val="28"/>
          <w:lang w:val="en-US" w:eastAsia="zh-CN" w:bidi="ar-SA"/>
        </w:rPr>
      </w:pPr>
      <w:r>
        <w:rPr>
          <w:rFonts w:hint="eastAsia" w:eastAsia="仿宋" w:cs="仿宋"/>
          <w:b/>
          <w:bCs w:val="0"/>
          <w:kern w:val="2"/>
          <w:sz w:val="28"/>
          <w:szCs w:val="28"/>
          <w:lang w:val="en-US" w:eastAsia="zh-CN" w:bidi="ar-SA"/>
        </w:rPr>
        <w:t>（4）</w:t>
      </w:r>
      <w:r>
        <w:rPr>
          <w:rFonts w:hint="eastAsia" w:ascii="Times New Roman" w:hAnsi="Times New Roman" w:eastAsia="仿宋" w:cs="仿宋"/>
          <w:b/>
          <w:bCs w:val="0"/>
          <w:kern w:val="2"/>
          <w:sz w:val="28"/>
          <w:szCs w:val="28"/>
          <w:lang w:val="en-US" w:eastAsia="zh-CN" w:bidi="ar-SA"/>
        </w:rPr>
        <w:t>智慧农服管理云平台。</w:t>
      </w:r>
      <w:r>
        <w:rPr>
          <w:rFonts w:hint="eastAsia" w:ascii="Times New Roman" w:hAnsi="Times New Roman" w:eastAsia="仿宋" w:cs="仿宋"/>
          <w:bCs/>
          <w:kern w:val="2"/>
          <w:sz w:val="28"/>
          <w:szCs w:val="28"/>
          <w:lang w:val="en-US" w:eastAsia="zh-CN" w:bidi="ar-SA"/>
        </w:rPr>
        <w:t>整合感知数据、处方数据、作业数据、农资数据，搭建海陵区智慧农业服务云平台，实现一屏观全域、一网管全程。平台具备数据监测、分析预警、智能决策、调度指挥、质量追溯等功能，为政府监管、主体生产、社会化服务、产业联动提供统一数字入口，形成数据汇聚、业务协同、上下联动、共建共享的智慧农田管理体系。</w:t>
      </w:r>
    </w:p>
    <w:p w14:paraId="388B4AB3">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仿宋"/>
          <w:b/>
          <w:bCs w:val="0"/>
          <w:sz w:val="28"/>
          <w:szCs w:val="28"/>
          <w:lang w:val="en-US" w:eastAsia="zh-CN"/>
        </w:rPr>
      </w:pPr>
      <w:r>
        <w:rPr>
          <w:rFonts w:hint="eastAsia" w:ascii="Times New Roman" w:hAnsi="Times New Roman" w:eastAsia="仿宋" w:cs="仿宋"/>
          <w:b/>
          <w:bCs w:val="0"/>
          <w:sz w:val="28"/>
          <w:szCs w:val="28"/>
          <w:lang w:val="en-US" w:eastAsia="zh-CN"/>
        </w:rPr>
        <w:t>二、低效农业资源综合利用项目</w:t>
      </w:r>
    </w:p>
    <w:p w14:paraId="6948EC34">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 w:val="0"/>
          <w:bCs/>
          <w:sz w:val="28"/>
          <w:szCs w:val="28"/>
          <w:lang w:val="en-US" w:eastAsia="zh-CN"/>
        </w:rPr>
      </w:pPr>
      <w:r>
        <w:rPr>
          <w:rFonts w:hint="eastAsia" w:ascii="Times New Roman" w:hAnsi="Times New Roman" w:eastAsia="仿宋" w:cs="仿宋"/>
          <w:b w:val="0"/>
          <w:bCs/>
          <w:sz w:val="28"/>
          <w:szCs w:val="28"/>
          <w:lang w:val="en-US" w:eastAsia="zh-CN"/>
        </w:rPr>
        <w:t>对现有闲置资源进行整合、改造和升级，发展智能设施农业</w:t>
      </w:r>
      <w:r>
        <w:rPr>
          <w:rFonts w:hint="eastAsia" w:eastAsia="仿宋" w:cs="仿宋"/>
          <w:b w:val="0"/>
          <w:bCs/>
          <w:sz w:val="28"/>
          <w:szCs w:val="28"/>
          <w:lang w:val="en-US" w:eastAsia="zh-CN"/>
        </w:rPr>
        <w:t>、</w:t>
      </w:r>
      <w:r>
        <w:rPr>
          <w:rFonts w:hint="eastAsia" w:ascii="Times New Roman" w:hAnsi="Times New Roman" w:eastAsia="仿宋" w:cs="仿宋"/>
          <w:b w:val="0"/>
          <w:bCs/>
          <w:sz w:val="28"/>
          <w:szCs w:val="28"/>
          <w:lang w:val="en-US" w:eastAsia="zh-CN"/>
        </w:rPr>
        <w:t>高效生态种养业</w:t>
      </w:r>
      <w:r>
        <w:rPr>
          <w:rFonts w:hint="eastAsia" w:eastAsia="仿宋" w:cs="仿宋"/>
          <w:b w:val="0"/>
          <w:bCs/>
          <w:sz w:val="28"/>
          <w:szCs w:val="28"/>
          <w:lang w:val="en-US" w:eastAsia="zh-CN"/>
        </w:rPr>
        <w:t>等</w:t>
      </w:r>
      <w:r>
        <w:rPr>
          <w:rFonts w:hint="eastAsia" w:ascii="Times New Roman" w:hAnsi="Times New Roman" w:eastAsia="仿宋" w:cs="仿宋"/>
          <w:b w:val="0"/>
          <w:bCs/>
          <w:sz w:val="28"/>
          <w:szCs w:val="28"/>
          <w:lang w:val="en-US" w:eastAsia="zh-CN"/>
        </w:rPr>
        <w:t>，推动农业向精品化、设施化、融合化</w:t>
      </w:r>
      <w:r>
        <w:rPr>
          <w:rFonts w:hint="eastAsia" w:eastAsia="仿宋" w:cs="仿宋"/>
          <w:b w:val="0"/>
          <w:bCs/>
          <w:sz w:val="28"/>
          <w:szCs w:val="28"/>
          <w:lang w:val="en-US" w:eastAsia="zh-CN"/>
        </w:rPr>
        <w:t>方向</w:t>
      </w:r>
      <w:r>
        <w:rPr>
          <w:rFonts w:hint="eastAsia" w:ascii="Times New Roman" w:hAnsi="Times New Roman" w:eastAsia="仿宋" w:cs="仿宋"/>
          <w:b w:val="0"/>
          <w:bCs/>
          <w:sz w:val="28"/>
          <w:szCs w:val="28"/>
          <w:lang w:val="en-US" w:eastAsia="zh-CN"/>
        </w:rPr>
        <w:t>转型升级。</w:t>
      </w:r>
    </w:p>
    <w:p w14:paraId="39E08B7D">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（1）智慧渔业工厂化养殖基地。</w:t>
      </w:r>
      <w:r>
        <w:rPr>
          <w:rFonts w:hint="eastAsia" w:ascii="Times New Roman" w:hAnsi="Times New Roman" w:eastAsia="仿宋" w:cs="仿宋"/>
          <w:sz w:val="28"/>
          <w:szCs w:val="28"/>
          <w:lang w:val="en-US" w:eastAsia="zh-CN"/>
        </w:rPr>
        <w:t>支持苏陈镇联动好润集团，对全镇废弃养猪场进行改造升级，发展智慧设施渔业养殖，对设施农用地内部进行标准化改造，划分养殖单元通道，保证养殖池塘排布规整，便于机械化作业和日常管理。配备水循环系统、通风设备、温控设备等养殖设施，安装传感器，实时监测溶氧、氨氮、亚硝酸盐、pH值、水温等关键指标，配套智能投喂机、智能增氧机、智能水循环泵，打造“物联网监测+智能调控+大数据管理”的智慧养殖体系，推动水产养殖从传统模式向现代化、集约化、智能化转变。</w:t>
      </w:r>
    </w:p>
    <w:p w14:paraId="45297478">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b w:val="0"/>
          <w:bCs/>
          <w:sz w:val="28"/>
          <w:szCs w:val="28"/>
          <w:lang w:val="en-US" w:eastAsia="zh-CN"/>
        </w:rPr>
      </w:pPr>
      <w:r>
        <w:rPr>
          <w:rFonts w:hint="eastAsia" w:ascii="Times New Roman" w:hAnsi="Times New Roman" w:eastAsia="仿宋" w:cs="仿宋"/>
          <w:b/>
          <w:bCs w:val="0"/>
          <w:sz w:val="28"/>
          <w:szCs w:val="28"/>
          <w:lang w:val="en-US" w:eastAsia="zh-CN"/>
        </w:rPr>
        <w:t>（2）低效林地更新改造项目。</w:t>
      </w:r>
      <w:r>
        <w:rPr>
          <w:rFonts w:hint="eastAsia" w:ascii="Times New Roman" w:hAnsi="Times New Roman" w:eastAsia="仿宋" w:cs="仿宋"/>
          <w:b w:val="0"/>
          <w:bCs/>
          <w:sz w:val="28"/>
          <w:szCs w:val="28"/>
          <w:lang w:val="en-US" w:eastAsia="zh-CN"/>
        </w:rPr>
        <w:t>对全区低效林地开展全面摸排与科学评估，</w:t>
      </w:r>
      <w:r>
        <w:rPr>
          <w:rFonts w:hint="eastAsia" w:eastAsia="仿宋" w:cs="仿宋"/>
          <w:b w:val="0"/>
          <w:bCs/>
          <w:sz w:val="28"/>
          <w:szCs w:val="28"/>
          <w:lang w:val="en-US" w:eastAsia="zh-CN"/>
        </w:rPr>
        <w:t>对</w:t>
      </w:r>
      <w:r>
        <w:rPr>
          <w:rFonts w:hint="eastAsia" w:ascii="Times New Roman" w:hAnsi="Times New Roman" w:eastAsia="仿宋" w:cs="仿宋"/>
          <w:b w:val="0"/>
          <w:bCs/>
          <w:sz w:val="28"/>
          <w:szCs w:val="28"/>
          <w:lang w:val="en-US" w:eastAsia="zh-CN"/>
        </w:rPr>
        <w:t>部分低效杨树、杂树等林地进行更新改造，探索发展薄壳山核桃、桃、梨等经济林果，推动土地高效利用与产业提质增效。清除原有意杨林地内的枯枝、落叶、杂草等杂物，并通过挖除或粉碎对采伐后的树桩进行处理，对地块进行深耕或旋耕，通过平整土地，修筑排水灌溉设施，确保田间排水良好，灌溉方便。以薄壳山核桃为主栽品种，搭配枇杷、石榴、无花果、桃等气候适配、见效快的经济林果，同时合理配置授粉树、间作低杆经济作物，实现“生态修复+经济增收”双提升。</w:t>
      </w:r>
    </w:p>
    <w:p w14:paraId="441414BE">
      <w:pPr>
        <w:pStyle w:val="2"/>
        <w:keepNext w:val="0"/>
        <w:keepLines w:val="0"/>
        <w:pageBreakBefore w:val="0"/>
        <w:kinsoku/>
        <w:wordWrap/>
        <w:overflowPunct/>
        <w:topLinePunct w:val="0"/>
        <w:autoSpaceDE/>
        <w:autoSpaceDN/>
        <w:bidi w:val="0"/>
        <w:adjustRightInd/>
        <w:snapToGrid/>
        <w:spacing w:line="360" w:lineRule="auto"/>
        <w:textAlignment w:val="auto"/>
        <w:rPr>
          <w:rFonts w:hint="default" w:eastAsia="仿宋" w:cs="仿宋"/>
          <w:b w:val="0"/>
          <w:bCs/>
          <w:sz w:val="28"/>
          <w:szCs w:val="28"/>
          <w:lang w:val="en-US" w:eastAsia="zh-CN"/>
        </w:rPr>
      </w:pP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3</w:t>
      </w: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设施蔬菜大棚改造提升</w:t>
      </w:r>
      <w:r>
        <w:rPr>
          <w:rFonts w:hint="eastAsia" w:ascii="Times New Roman" w:hAnsi="Times New Roman" w:eastAsia="仿宋" w:cs="仿宋"/>
          <w:b/>
          <w:bCs w:val="0"/>
          <w:sz w:val="28"/>
          <w:szCs w:val="28"/>
          <w:lang w:val="en-US" w:eastAsia="zh-CN"/>
        </w:rPr>
        <w:t>项目。</w:t>
      </w:r>
      <w:r>
        <w:rPr>
          <w:rFonts w:hint="eastAsia" w:ascii="Times New Roman" w:hAnsi="Times New Roman" w:eastAsia="仿宋" w:cs="仿宋"/>
          <w:b w:val="0"/>
          <w:bCs/>
          <w:sz w:val="28"/>
          <w:szCs w:val="28"/>
          <w:lang w:val="en-US" w:eastAsia="zh-CN"/>
        </w:rPr>
        <w:t>对</w:t>
      </w:r>
      <w:r>
        <w:rPr>
          <w:rFonts w:hint="eastAsia" w:eastAsia="仿宋" w:cs="仿宋"/>
          <w:b w:val="0"/>
          <w:bCs/>
          <w:sz w:val="28"/>
          <w:szCs w:val="28"/>
          <w:lang w:val="en-US" w:eastAsia="zh-CN"/>
        </w:rPr>
        <w:t>城东街道蔬菜生产设施进行提档升级，推动传统种植模式向现代化、集约化、高效化转型</w:t>
      </w:r>
      <w:r>
        <w:rPr>
          <w:rFonts w:hint="eastAsia" w:ascii="Times New Roman" w:hAnsi="Times New Roman" w:eastAsia="仿宋" w:cs="仿宋"/>
          <w:b w:val="0"/>
          <w:bCs/>
          <w:sz w:val="28"/>
          <w:szCs w:val="28"/>
          <w:lang w:val="en-US" w:eastAsia="zh-CN"/>
        </w:rPr>
        <w:t>。</w:t>
      </w:r>
      <w:r>
        <w:rPr>
          <w:rFonts w:hint="eastAsia" w:eastAsia="仿宋" w:cs="仿宋"/>
          <w:b w:val="0"/>
          <w:bCs/>
          <w:sz w:val="28"/>
          <w:szCs w:val="28"/>
          <w:lang w:val="en-US" w:eastAsia="zh-CN"/>
        </w:rPr>
        <w:t>实施棚体结构标准化改造，统一升级主体骨架与围护覆盖系统，合理确定棚体跨度与肩高，确保内部空间满足小型农机通行与作业要求。引进物联网环境调控、水肥一体化滴灌、智能通风温控等先进设施设备，提升生产精准度与数字化管理水平。统筹采后处理保鲜、田间基础设施、公共服务配套建设，补齐产后流通与服务短板。同时，拓展共享菜园、科普研学等多种业态，推动生产功能与城市服务功能深度融合。</w:t>
      </w:r>
    </w:p>
    <w:p w14:paraId="75592B77">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仿宋"/>
          <w:b/>
          <w:bCs w:val="0"/>
          <w:sz w:val="28"/>
          <w:szCs w:val="28"/>
          <w:lang w:val="en-US" w:eastAsia="zh-CN"/>
        </w:rPr>
      </w:pPr>
      <w:r>
        <w:rPr>
          <w:rFonts w:hint="eastAsia" w:ascii="Times New Roman" w:hAnsi="Times New Roman" w:eastAsia="仿宋" w:cs="仿宋"/>
          <w:b/>
          <w:bCs w:val="0"/>
          <w:sz w:val="28"/>
          <w:szCs w:val="28"/>
          <w:lang w:val="en-US" w:eastAsia="zh-CN"/>
        </w:rPr>
        <w:t>三、</w:t>
      </w:r>
      <w:r>
        <w:rPr>
          <w:rFonts w:hint="eastAsia" w:eastAsia="仿宋" w:cs="仿宋"/>
          <w:b/>
          <w:bCs w:val="0"/>
          <w:sz w:val="28"/>
          <w:szCs w:val="28"/>
          <w:lang w:val="en-US" w:eastAsia="zh-CN"/>
        </w:rPr>
        <w:t>区域性农业</w:t>
      </w:r>
      <w:r>
        <w:rPr>
          <w:rFonts w:hint="eastAsia" w:ascii="Times New Roman" w:hAnsi="Times New Roman" w:eastAsia="仿宋" w:cs="仿宋"/>
          <w:b/>
          <w:bCs w:val="0"/>
          <w:sz w:val="28"/>
          <w:szCs w:val="28"/>
          <w:lang w:val="en-US" w:eastAsia="zh-CN"/>
        </w:rPr>
        <w:t>综合服务中心建设项目</w:t>
      </w:r>
    </w:p>
    <w:p w14:paraId="16FD2A6A">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以智慧农服平台为核心，打造2个区域性农业综合服务中心，形成“中部指挥调度、东西协同联动”的农业社会化服务格局，构建覆盖全区农业生产全链条的现代化服务体系。</w:t>
      </w:r>
    </w:p>
    <w:p w14:paraId="6FBB6D0B">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eastAsia="仿宋" w:cs="仿宋"/>
          <w:b/>
          <w:bCs w:val="0"/>
          <w:sz w:val="28"/>
          <w:szCs w:val="28"/>
          <w:lang w:val="en-US" w:eastAsia="zh-CN"/>
        </w:rPr>
        <w:t>（1）</w:t>
      </w:r>
      <w:r>
        <w:rPr>
          <w:rFonts w:hint="eastAsia" w:ascii="Times New Roman" w:hAnsi="Times New Roman" w:eastAsia="仿宋" w:cs="仿宋"/>
          <w:b/>
          <w:bCs w:val="0"/>
          <w:sz w:val="28"/>
          <w:szCs w:val="28"/>
          <w:lang w:val="en-US" w:eastAsia="zh-CN"/>
        </w:rPr>
        <w:t>区域性农业综合服务中心（农技）。</w:t>
      </w:r>
      <w:r>
        <w:rPr>
          <w:rFonts w:hint="eastAsia" w:ascii="Times New Roman" w:hAnsi="Times New Roman" w:eastAsia="仿宋" w:cs="仿宋"/>
          <w:sz w:val="28"/>
          <w:szCs w:val="28"/>
          <w:lang w:val="en-US" w:eastAsia="zh-CN"/>
        </w:rPr>
        <w:t>建设固定服务场所，利用现有设施改造，配备办公、培训与检测设备，满足日常服务需求。组建专业服务团队，整合农技人员、科研专家、乡土人才等，按需设岗，通过“包村联户”等方式开展技术指导与培训。打造科技展示基地，围绕主导产业建设长期稳定的示范基地，集成示范新品种、新技术与新装备。建立智慧监测系统，以粮油作物为重点，科学配置“四情”监测设备，构建智能监测网络并接入省级平台。搭建“新农人”实践平台，联合培训机构开展田间实训、创业辅导与学历提升，支持“头雁”等带头人参与服务中心示范推广。</w:t>
      </w:r>
    </w:p>
    <w:p w14:paraId="00E31CA3">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eastAsia="仿宋" w:cs="仿宋"/>
          <w:b/>
          <w:bCs w:val="0"/>
          <w:sz w:val="28"/>
          <w:szCs w:val="28"/>
          <w:lang w:val="en-US" w:eastAsia="zh-CN"/>
        </w:rPr>
        <w:t>（2）</w:t>
      </w:r>
      <w:r>
        <w:rPr>
          <w:rFonts w:hint="eastAsia" w:ascii="Times New Roman" w:hAnsi="Times New Roman" w:eastAsia="仿宋" w:cs="仿宋"/>
          <w:b/>
          <w:bCs w:val="0"/>
          <w:sz w:val="28"/>
          <w:szCs w:val="28"/>
          <w:lang w:val="en-US" w:eastAsia="zh-CN"/>
        </w:rPr>
        <w:t>区域性农业综合服务中心（农事）。</w:t>
      </w:r>
      <w:r>
        <w:rPr>
          <w:rFonts w:hint="eastAsia" w:ascii="Times New Roman" w:hAnsi="Times New Roman" w:eastAsia="仿宋" w:cs="仿宋"/>
          <w:sz w:val="28"/>
          <w:szCs w:val="28"/>
          <w:lang w:val="en-US" w:eastAsia="zh-CN"/>
        </w:rPr>
        <w:t>提供“耕、种、管、收”全程机械化作业服务，配备相应农机库与机具，开展种子、肥料等农资的统一采购与配送。建设育秧（苗）中心，提供集中育供秧服务，配置植保机械，开展专业化病虫害防控，建设烘干中心，提供粮食烘干服务，设立维修点，提供农机保养与零配件供应，并储备应急机具，承担抢收抢烘等防灾减灾作业。应用智慧农业平台进行作业监测与调度，建设培训室开展农技与安全培训，设立展销区助力农产品线上线下销售，根据需求建设仓储保鲜库与初加工车间，并配套建设农业废弃物收集处理设施，促进资源循环利用。鼓励结合实际需求与条件，选择性配置拓展功能，推动服务功能集成与能级提升。</w:t>
      </w:r>
    </w:p>
    <w:p w14:paraId="780A5365">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仿宋"/>
          <w:b/>
          <w:bCs w:val="0"/>
          <w:sz w:val="28"/>
          <w:szCs w:val="28"/>
          <w:lang w:val="en-US" w:eastAsia="zh-CN"/>
        </w:rPr>
      </w:pPr>
      <w:r>
        <w:rPr>
          <w:rFonts w:hint="eastAsia" w:ascii="Times New Roman" w:hAnsi="Times New Roman" w:eastAsia="仿宋" w:cs="仿宋"/>
          <w:b/>
          <w:bCs w:val="0"/>
          <w:sz w:val="28"/>
          <w:szCs w:val="28"/>
          <w:lang w:val="en-US" w:eastAsia="zh-CN"/>
        </w:rPr>
        <w:t>四、农产品加工集中区建设项目</w:t>
      </w:r>
    </w:p>
    <w:p w14:paraId="5A3B72D2">
      <w:pPr>
        <w:pStyle w:val="2"/>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 w:cs="仿宋"/>
          <w:b w:val="0"/>
          <w:bCs/>
          <w:sz w:val="28"/>
          <w:szCs w:val="28"/>
          <w:lang w:val="en-US" w:eastAsia="zh-CN"/>
        </w:rPr>
      </w:pPr>
      <w:r>
        <w:rPr>
          <w:rFonts w:hint="eastAsia" w:eastAsia="仿宋" w:cs="仿宋"/>
          <w:b w:val="0"/>
          <w:bCs/>
          <w:sz w:val="28"/>
          <w:szCs w:val="28"/>
          <w:lang w:val="en-US" w:eastAsia="zh-CN"/>
        </w:rPr>
        <w:t>围绕</w:t>
      </w:r>
      <w:r>
        <w:rPr>
          <w:rFonts w:hint="eastAsia" w:ascii="Times New Roman" w:hAnsi="Times New Roman" w:eastAsia="仿宋" w:cs="仿宋"/>
          <w:b w:val="0"/>
          <w:bCs/>
          <w:sz w:val="28"/>
          <w:szCs w:val="28"/>
          <w:lang w:val="en-US" w:eastAsia="zh-CN"/>
        </w:rPr>
        <w:t>健康食品、宠物经济、微生物科技、农业智能装备</w:t>
      </w:r>
      <w:r>
        <w:rPr>
          <w:rFonts w:hint="eastAsia" w:eastAsia="仿宋" w:cs="仿宋"/>
          <w:b w:val="0"/>
          <w:bCs/>
          <w:sz w:val="28"/>
          <w:szCs w:val="28"/>
          <w:lang w:val="en-US" w:eastAsia="zh-CN"/>
        </w:rPr>
        <w:t>四大核心板块，通过精准招商与产业链整合，推动向精深加工、功能食品等高附加值领域拓展，着力打造都市城郊型农业样板。</w:t>
      </w:r>
    </w:p>
    <w:p w14:paraId="7E216F19">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（1）健康食品</w:t>
      </w:r>
      <w:r>
        <w:rPr>
          <w:rFonts w:hint="eastAsia" w:eastAsia="仿宋" w:cs="仿宋"/>
          <w:b/>
          <w:bCs w:val="0"/>
          <w:sz w:val="28"/>
          <w:szCs w:val="28"/>
          <w:lang w:val="en-US" w:eastAsia="zh-CN"/>
        </w:rPr>
        <w:t>板块</w:t>
      </w:r>
      <w:r>
        <w:rPr>
          <w:rFonts w:hint="eastAsia" w:ascii="Times New Roman" w:hAnsi="Times New Roman" w:eastAsia="仿宋" w:cs="仿宋"/>
          <w:b/>
          <w:bCs w:val="0"/>
          <w:sz w:val="28"/>
          <w:szCs w:val="28"/>
          <w:lang w:val="en-US" w:eastAsia="zh-CN"/>
        </w:rPr>
        <w:t>。</w:t>
      </w:r>
      <w:r>
        <w:rPr>
          <w:rFonts w:hint="eastAsia" w:eastAsia="仿宋" w:cs="仿宋"/>
          <w:sz w:val="28"/>
          <w:szCs w:val="28"/>
          <w:lang w:val="en-US" w:eastAsia="zh-CN"/>
        </w:rPr>
        <w:t>策应</w:t>
      </w:r>
      <w:r>
        <w:rPr>
          <w:rFonts w:hint="eastAsia" w:ascii="Times New Roman" w:hAnsi="Times New Roman" w:eastAsia="仿宋" w:cs="仿宋"/>
          <w:sz w:val="28"/>
          <w:szCs w:val="28"/>
          <w:lang w:val="en-US" w:eastAsia="zh-CN"/>
        </w:rPr>
        <w:t>大健康产业</w:t>
      </w:r>
      <w:r>
        <w:rPr>
          <w:rFonts w:hint="eastAsia" w:eastAsia="仿宋" w:cs="仿宋"/>
          <w:sz w:val="28"/>
          <w:szCs w:val="28"/>
          <w:lang w:val="en-US" w:eastAsia="zh-CN"/>
        </w:rPr>
        <w:t>发展趋势</w:t>
      </w:r>
      <w:r>
        <w:rPr>
          <w:rFonts w:hint="eastAsia" w:ascii="Times New Roman" w:hAnsi="Times New Roman" w:eastAsia="仿宋" w:cs="仿宋"/>
          <w:sz w:val="28"/>
          <w:szCs w:val="28"/>
          <w:lang w:val="en-US" w:eastAsia="zh-CN"/>
        </w:rPr>
        <w:t>，</w:t>
      </w:r>
      <w:r>
        <w:rPr>
          <w:rFonts w:hint="eastAsia" w:eastAsia="仿宋" w:cs="仿宋"/>
          <w:sz w:val="28"/>
          <w:szCs w:val="28"/>
          <w:lang w:val="en-US" w:eastAsia="zh-CN"/>
        </w:rPr>
        <w:t>夯实高品质粮油、动物营养食品、预制菜三大基础领域，壮大功能食品、健康饮料、烘焙食品三大增量板块，前瞻布局药食同源、微生物发酵、合成生物应用等N个新兴赛道</w:t>
      </w:r>
      <w:r>
        <w:rPr>
          <w:rFonts w:hint="eastAsia" w:ascii="Times New Roman" w:hAnsi="Times New Roman" w:eastAsia="仿宋" w:cs="仿宋"/>
          <w:sz w:val="28"/>
          <w:szCs w:val="28"/>
          <w:lang w:val="en-US" w:eastAsia="zh-CN"/>
        </w:rPr>
        <w:t>，构建“3+3+N”健康食品产业体系</w:t>
      </w:r>
      <w:r>
        <w:rPr>
          <w:rFonts w:hint="eastAsia" w:eastAsia="仿宋" w:cs="仿宋"/>
          <w:sz w:val="28"/>
          <w:szCs w:val="28"/>
          <w:lang w:val="en-US" w:eastAsia="zh-CN"/>
        </w:rPr>
        <w:t>，</w:t>
      </w:r>
      <w:r>
        <w:rPr>
          <w:rFonts w:hint="eastAsia" w:ascii="Times New Roman" w:hAnsi="Times New Roman" w:eastAsia="仿宋" w:cs="仿宋"/>
          <w:sz w:val="28"/>
          <w:szCs w:val="28"/>
          <w:lang w:val="en-US" w:eastAsia="zh-CN"/>
        </w:rPr>
        <w:t>推动从初级加工向精深加工、健康食品、功能食品、预制菜等高附加值领域拓展</w:t>
      </w:r>
      <w:r>
        <w:rPr>
          <w:rFonts w:hint="eastAsia" w:eastAsia="仿宋" w:cs="仿宋"/>
          <w:sz w:val="28"/>
          <w:szCs w:val="28"/>
          <w:lang w:val="en-US" w:eastAsia="zh-CN"/>
        </w:rPr>
        <w:t>。</w:t>
      </w:r>
    </w:p>
    <w:p w14:paraId="6DC92840">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eastAsia="仿宋" w:cs="仿宋"/>
          <w:b w:val="0"/>
          <w:bCs/>
          <w:sz w:val="28"/>
          <w:szCs w:val="28"/>
          <w:lang w:val="en-US" w:eastAsia="zh-CN"/>
        </w:rPr>
      </w:pPr>
      <w:r>
        <w:rPr>
          <w:rFonts w:hint="eastAsia" w:eastAsia="仿宋" w:cs="仿宋"/>
          <w:b/>
          <w:bCs w:val="0"/>
          <w:sz w:val="28"/>
          <w:szCs w:val="28"/>
          <w:lang w:val="en-US" w:eastAsia="zh-CN"/>
        </w:rPr>
        <w:t>（2）宠物经济板块。</w:t>
      </w:r>
      <w:r>
        <w:rPr>
          <w:rFonts w:hint="eastAsia" w:eastAsia="仿宋" w:cs="仿宋"/>
          <w:b w:val="0"/>
          <w:bCs/>
          <w:sz w:val="28"/>
          <w:szCs w:val="28"/>
          <w:lang w:val="en-US" w:eastAsia="zh-CN"/>
        </w:rPr>
        <w:t>重点招引高端主粮、保健品、宠物药品及智能宠物用品等产业落地，拓展宠物训导、宠物医疗、宠物美容等下游服务业态。支持易实百瑞、博莱宠等宠物产业链企业深耕发展。构建高端宠物“食品+用品+服务”全产业链生态，打造长三角颇具影响力的宠物产业高地。</w:t>
      </w:r>
    </w:p>
    <w:p w14:paraId="0185E2F5">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eastAsia="仿宋" w:cs="仿宋"/>
          <w:b/>
          <w:bCs w:val="0"/>
          <w:sz w:val="28"/>
          <w:szCs w:val="28"/>
          <w:lang w:val="en-US" w:eastAsia="zh-CN"/>
        </w:rPr>
        <w:t>（3）微生物科技板块。</w:t>
      </w:r>
      <w:r>
        <w:rPr>
          <w:rFonts w:hint="eastAsia" w:ascii="Times New Roman" w:hAnsi="Times New Roman" w:eastAsia="仿宋" w:cs="仿宋"/>
          <w:sz w:val="28"/>
          <w:szCs w:val="28"/>
          <w:lang w:val="en-US" w:eastAsia="zh-CN"/>
        </w:rPr>
        <w:t>深耕农业生物技术前沿</w:t>
      </w:r>
      <w:r>
        <w:rPr>
          <w:rFonts w:hint="eastAsia" w:eastAsia="仿宋" w:cs="仿宋"/>
          <w:sz w:val="28"/>
          <w:szCs w:val="28"/>
          <w:lang w:val="en-US" w:eastAsia="zh-CN"/>
        </w:rPr>
        <w:t>，以生物基材料、微生物科技、生物制药等为核心发展方向。</w:t>
      </w:r>
      <w:r>
        <w:rPr>
          <w:rFonts w:hint="eastAsia" w:ascii="Times New Roman" w:hAnsi="Times New Roman" w:eastAsia="仿宋" w:cs="仿宋"/>
          <w:sz w:val="28"/>
          <w:szCs w:val="28"/>
          <w:lang w:val="en-US" w:eastAsia="zh-CN"/>
        </w:rPr>
        <w:t>加强与国内知名高校、科研院所战略合作，</w:t>
      </w:r>
      <w:r>
        <w:rPr>
          <w:rFonts w:hint="eastAsia" w:eastAsia="仿宋" w:cs="仿宋"/>
          <w:sz w:val="28"/>
          <w:szCs w:val="28"/>
          <w:lang w:val="en-US" w:eastAsia="zh-CN"/>
        </w:rPr>
        <w:t>搭建科研中试载体加速技术成果落地</w:t>
      </w:r>
      <w:r>
        <w:rPr>
          <w:rFonts w:hint="eastAsia" w:ascii="Times New Roman" w:hAnsi="Times New Roman" w:eastAsia="仿宋" w:cs="仿宋"/>
          <w:sz w:val="28"/>
          <w:szCs w:val="28"/>
          <w:lang w:val="en-US" w:eastAsia="zh-CN"/>
        </w:rPr>
        <w:t>。引导龙头企业入驻，促进上下游企业集聚，形成从研发、中试到规模化生产的完整产业生态。</w:t>
      </w:r>
    </w:p>
    <w:p w14:paraId="4AAC0175">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eastAsia="仿宋" w:cs="仿宋"/>
          <w:sz w:val="28"/>
          <w:szCs w:val="28"/>
          <w:lang w:val="en-US" w:eastAsia="zh-CN"/>
        </w:rPr>
      </w:pP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4</w:t>
      </w:r>
      <w:r>
        <w:rPr>
          <w:rFonts w:hint="eastAsia" w:ascii="Times New Roman" w:hAnsi="Times New Roman" w:eastAsia="仿宋" w:cs="仿宋"/>
          <w:b/>
          <w:bCs w:val="0"/>
          <w:sz w:val="28"/>
          <w:szCs w:val="28"/>
          <w:lang w:val="en-US" w:eastAsia="zh-CN"/>
        </w:rPr>
        <w:t>）农业智能装备</w:t>
      </w:r>
      <w:r>
        <w:rPr>
          <w:rFonts w:hint="eastAsia" w:eastAsia="仿宋" w:cs="仿宋"/>
          <w:b/>
          <w:bCs w:val="0"/>
          <w:sz w:val="28"/>
          <w:szCs w:val="28"/>
          <w:lang w:val="en-US" w:eastAsia="zh-CN"/>
        </w:rPr>
        <w:t>板块</w:t>
      </w:r>
      <w:r>
        <w:rPr>
          <w:rFonts w:hint="eastAsia" w:ascii="Times New Roman" w:hAnsi="Times New Roman" w:eastAsia="仿宋" w:cs="仿宋"/>
          <w:b/>
          <w:bCs w:val="0"/>
          <w:sz w:val="28"/>
          <w:szCs w:val="28"/>
          <w:lang w:val="en-US" w:eastAsia="zh-CN"/>
        </w:rPr>
        <w:t>。</w:t>
      </w:r>
      <w:r>
        <w:rPr>
          <w:rFonts w:hint="eastAsia" w:ascii="Times New Roman" w:hAnsi="Times New Roman" w:eastAsia="仿宋" w:cs="仿宋"/>
          <w:sz w:val="28"/>
          <w:szCs w:val="28"/>
          <w:lang w:val="en-US" w:eastAsia="zh-CN"/>
        </w:rPr>
        <w:t>聚焦农业智能装备制造，引进高端智能农机、自动化生产线及智慧农业管理系统，发展精准投喂、病害实时监测等数字装备产业，促进北斗导航、智能传感等技术与农机装备深度融合，建设一批具有实际应用场景的种业科普、抗病苗种、智能农机示范基地</w:t>
      </w:r>
      <w:r>
        <w:rPr>
          <w:rFonts w:hint="eastAsia" w:eastAsia="仿宋" w:cs="仿宋"/>
          <w:sz w:val="28"/>
          <w:szCs w:val="28"/>
          <w:lang w:val="en-US" w:eastAsia="zh-CN"/>
        </w:rPr>
        <w:t>，构建“制造引领、场景驱动”的良性产业闭环。</w:t>
      </w:r>
    </w:p>
    <w:p w14:paraId="507BCACA">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5</w:t>
      </w:r>
      <w:r>
        <w:rPr>
          <w:rFonts w:hint="eastAsia" w:ascii="Times New Roman" w:hAnsi="Times New Roman" w:eastAsia="仿宋" w:cs="仿宋"/>
          <w:b/>
          <w:bCs w:val="0"/>
          <w:sz w:val="28"/>
          <w:szCs w:val="28"/>
          <w:lang w:val="en-US" w:eastAsia="zh-CN"/>
        </w:rPr>
        <w:t>）研发及配套服务产业集聚区。</w:t>
      </w:r>
      <w:r>
        <w:rPr>
          <w:rFonts w:hint="eastAsia" w:ascii="Times New Roman" w:hAnsi="Times New Roman" w:eastAsia="仿宋" w:cs="仿宋"/>
          <w:sz w:val="28"/>
          <w:szCs w:val="28"/>
          <w:lang w:val="en-US" w:eastAsia="zh-CN"/>
        </w:rPr>
        <w:t>通过搭建高技术平台和提供优质的配套服务，组建和引入创新型人才队伍，为园区的成长型企业提供临时的研发空间，利用知名高校和科研院所的力量，共同推动企业研发能力的培育，显著提高园区企业的自主创新能力和市场竞争力。</w:t>
      </w:r>
    </w:p>
    <w:p w14:paraId="13E03DB1">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6</w:t>
      </w:r>
      <w:r>
        <w:rPr>
          <w:rFonts w:hint="eastAsia" w:ascii="Times New Roman" w:hAnsi="Times New Roman" w:eastAsia="仿宋" w:cs="仿宋"/>
          <w:b/>
          <w:bCs w:val="0"/>
          <w:sz w:val="28"/>
          <w:szCs w:val="28"/>
          <w:lang w:val="en-US" w:eastAsia="zh-CN"/>
        </w:rPr>
        <w:t>）冷链物流和仓储服务中心。</w:t>
      </w:r>
      <w:r>
        <w:rPr>
          <w:rFonts w:hint="eastAsia" w:ascii="Times New Roman" w:hAnsi="Times New Roman" w:eastAsia="仿宋" w:cs="仿宋"/>
          <w:sz w:val="28"/>
          <w:szCs w:val="28"/>
          <w:lang w:val="en-US" w:eastAsia="zh-CN"/>
        </w:rPr>
        <w:t>围绕优质果蔬、畜禽肉品、速冻米面食品等产品，利用5G、物联网、AR/VR和区块链等高科技手段，实现优质农副产品、食品从田间、车间到舌尖的全程可视化追溯，打造集分拣、仓储、冷链物流、交易等功能为一体的国际食品农产品冷链仓储流通中心。</w:t>
      </w:r>
    </w:p>
    <w:p w14:paraId="7490CD86">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仿宋" w:cs="仿宋"/>
          <w:b/>
          <w:bCs w:val="0"/>
          <w:sz w:val="28"/>
          <w:szCs w:val="28"/>
          <w:highlight w:val="none"/>
          <w:lang w:val="en-US" w:eastAsia="zh-CN"/>
        </w:rPr>
      </w:pPr>
    </w:p>
    <w:p w14:paraId="748E8E2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仿宋" w:cs="仿宋"/>
          <w:b/>
          <w:bCs w:val="0"/>
          <w:sz w:val="28"/>
          <w:szCs w:val="28"/>
          <w:highlight w:val="none"/>
          <w:lang w:val="en-US" w:eastAsia="zh-CN"/>
        </w:rPr>
      </w:pPr>
      <w:r>
        <w:rPr>
          <w:rFonts w:hint="eastAsia" w:eastAsia="仿宋" w:cs="仿宋"/>
          <w:b/>
          <w:bCs w:val="0"/>
          <w:sz w:val="28"/>
          <w:szCs w:val="28"/>
          <w:highlight w:val="none"/>
          <w:lang w:val="en-US" w:eastAsia="zh-CN"/>
        </w:rPr>
        <w:t>五、农业新业态新场景示范引领项目</w:t>
      </w:r>
    </w:p>
    <w:p w14:paraId="358572C9">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为充分发挥麒麟湾生态园现有乐享莓园、草莓科技示范园、“汪汪派”与“泰宠动”宠物文化公园、菜满满生态农场等项目基础优势，坚持“规划引领、资源共享、瓶颈突破、品牌统揽”原则，以麒麟湾生态园为核心载体，沿“串点成线、连线成片”发展路径，强化基础设施与公共服务配套，构建农文旅资源互助共享机制，着力破解交通、土地、运营等关键制约因素，全方位激活资源要素，打造农文旅融合发展示范引擎，引领带动海陵区休闲产业整体提升。</w:t>
      </w:r>
    </w:p>
    <w:p w14:paraId="5E6F2C5D">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（1）搭建统一宣传推广平台。</w:t>
      </w:r>
      <w:r>
        <w:rPr>
          <w:rFonts w:hint="eastAsia" w:ascii="Times New Roman" w:hAnsi="Times New Roman" w:eastAsia="仿宋" w:cs="仿宋"/>
          <w:sz w:val="28"/>
          <w:szCs w:val="28"/>
          <w:lang w:val="en-US" w:eastAsia="zh-CN"/>
        </w:rPr>
        <w:t>由海陵农业园区牵头，统一服务标识与品牌形象，深挖“泰”卦吉祥、灵兽吉祥、佛教吉祥等“吉乡”文化，塑造“吉祥麒麟”“吉乡海陵”品牌，形成“求吉祥到吉乡”认知。策划“四季吉乡”节庆体系（春赏花、夏摘果、秋研学、冬年俗），补齐特色餐饮、购物展销、民宿、夜游等短板，延长停留时间。充分利用抖音、微信等新媒体平台，建立官方账号矩阵，开展助农直播，创新宣传渠道。建设智慧旅游系统，实现线上预约、导览、支付、投诉一体化。</w:t>
      </w:r>
    </w:p>
    <w:p w14:paraId="5D87A27A">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（2）构建区域资源共享互助体系。</w:t>
      </w:r>
      <w:r>
        <w:rPr>
          <w:rFonts w:hint="eastAsia" w:ascii="Times New Roman" w:hAnsi="Times New Roman" w:eastAsia="仿宋" w:cs="仿宋"/>
          <w:sz w:val="28"/>
          <w:szCs w:val="28"/>
          <w:lang w:val="en-US" w:eastAsia="zh-CN"/>
        </w:rPr>
        <w:t>整合各项目资源，建立“项目库+资源池”管理模式，统筹人才、物流、服务设施等要素配置，强化上述要素调配与综合利用。推动经营主体在活动策划、宣传引流、电商销售等方面协同联动，避免同质竞争，实现“抱团发展”。搭建园区统一宣传与线上销售平台，鼓励园区公共平台与企业平台互动发展，降低单主体成本。设立区域互助基金或资源兑换机制，支持淡旺季间客流、用工、设施等资源调剂共享。</w:t>
      </w:r>
    </w:p>
    <w:p w14:paraId="053615A0">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（3）聚焦破解关键制约因素。</w:t>
      </w:r>
      <w:r>
        <w:rPr>
          <w:rFonts w:hint="eastAsia" w:ascii="Times New Roman" w:hAnsi="Times New Roman" w:eastAsia="仿宋" w:cs="仿宋"/>
          <w:sz w:val="28"/>
          <w:szCs w:val="28"/>
          <w:lang w:val="en-US" w:eastAsia="zh-CN"/>
        </w:rPr>
        <w:t>一是突破交通瓶颈。加快推进青年路北延工程，力争将主城区至麒麟湾绕行距离由约15公里缩短至7公里；优化公交线路覆盖与频次，开通假日旅游专线，提升公共交通可达性；完善园区内部交通体系，投放共享代步工具，实现各景点间便捷换乘。二是强化土地保障。落实不低于新增建设用地计划5%的比例，优先保障农村一二三产业融合及重大农文旅项目用地；鼓励村集体经济组织以自营、联营、合作开发、作价入股等方式盘活集体建设用地；探索点状供地、“农业+”混合用地等灵活供地方式；对土地承包、农业设施用地等需求，在合法合规前提下开通绿色通道，实行“即申即审、快批快办”。</w:t>
      </w:r>
    </w:p>
    <w:p w14:paraId="3C542D07">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b/>
          <w:bCs w:val="0"/>
          <w:sz w:val="28"/>
          <w:szCs w:val="28"/>
          <w:lang w:val="en-US" w:eastAsia="zh-CN"/>
        </w:rPr>
        <w:t>（4）健全保障与联动推广机制。</w:t>
      </w:r>
      <w:r>
        <w:rPr>
          <w:rFonts w:hint="eastAsia" w:ascii="Times New Roman" w:hAnsi="Times New Roman" w:eastAsia="仿宋" w:cs="仿宋"/>
          <w:sz w:val="28"/>
          <w:szCs w:val="28"/>
          <w:lang w:val="en-US" w:eastAsia="zh-CN"/>
        </w:rPr>
        <w:t>建议成立区级农文旅融合发展工作专班，统筹规划、土地、交通、宣传等事项；统筹特色田园乡村、乡村振兴等专项资金，引导社会资本参与，探索“政府引导+企业主体+村社入股”投融资模式；将资源共享、制约突破等纳入年度考核，定期评估并推广典型经验；强化与多彩垎岸、秋雪湖、花栖云里等周边景区联动，打造卤汀河、麒麟河亲水主题线路及休闲康养线路，促进全域旅游发展，形成“以点带面、全域联动”发展格局。</w:t>
      </w:r>
    </w:p>
    <w:p w14:paraId="4AEE7E0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仿宋"/>
          <w:b/>
          <w:bCs w:val="0"/>
          <w:sz w:val="28"/>
          <w:szCs w:val="28"/>
          <w:highlight w:val="none"/>
          <w:lang w:val="en-US" w:eastAsia="zh-CN"/>
        </w:rPr>
      </w:pPr>
      <w:r>
        <w:rPr>
          <w:rFonts w:hint="eastAsia" w:eastAsia="仿宋" w:cs="仿宋"/>
          <w:b/>
          <w:bCs w:val="0"/>
          <w:sz w:val="28"/>
          <w:szCs w:val="28"/>
          <w:highlight w:val="none"/>
          <w:lang w:val="en-US" w:eastAsia="zh-CN"/>
        </w:rPr>
        <w:t>六</w:t>
      </w:r>
      <w:r>
        <w:rPr>
          <w:rFonts w:hint="eastAsia" w:ascii="Times New Roman" w:hAnsi="Times New Roman" w:eastAsia="仿宋" w:cs="仿宋"/>
          <w:b/>
          <w:bCs w:val="0"/>
          <w:sz w:val="28"/>
          <w:szCs w:val="28"/>
          <w:highlight w:val="none"/>
          <w:lang w:val="en-US" w:eastAsia="zh-CN"/>
        </w:rPr>
        <w:t>、宜居宜业和美乡村建设项目</w:t>
      </w:r>
    </w:p>
    <w:p w14:paraId="07393359">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仿宋" w:cs="仿宋"/>
          <w:sz w:val="28"/>
          <w:szCs w:val="28"/>
          <w:lang w:val="en-US" w:eastAsia="zh-CN"/>
        </w:rPr>
      </w:pPr>
      <w:r>
        <w:rPr>
          <w:rFonts w:hint="eastAsia" w:eastAsia="仿宋" w:cs="仿宋"/>
          <w:sz w:val="28"/>
          <w:szCs w:val="28"/>
          <w:lang w:val="en-US" w:eastAsia="zh-CN"/>
        </w:rPr>
        <w:t>依托海陵“近城临水、田园交织、产业多元”的独特禀赋，打造以“都市农业为基、水乡生态为韵、城乡融合为径”的宜居宜业和美乡村示范区，彰显“水韵海陵・乡愁记忆”品牌效应。</w:t>
      </w:r>
    </w:p>
    <w:p w14:paraId="228F7A00">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仿宋" w:cs="仿宋"/>
          <w:sz w:val="28"/>
          <w:szCs w:val="28"/>
          <w:lang w:val="en-US" w:eastAsia="zh-CN"/>
        </w:rPr>
      </w:pPr>
      <w:r>
        <w:rPr>
          <w:rFonts w:hint="eastAsia" w:eastAsia="仿宋" w:cs="仿宋"/>
          <w:b/>
          <w:bCs w:val="0"/>
          <w:sz w:val="28"/>
          <w:szCs w:val="28"/>
          <w:lang w:val="en-US" w:eastAsia="zh-CN"/>
        </w:rPr>
        <w:t>（1）深化城乡功能互补。</w:t>
      </w:r>
      <w:r>
        <w:rPr>
          <w:rFonts w:hint="eastAsia" w:eastAsia="仿宋" w:cs="仿宋"/>
          <w:sz w:val="28"/>
          <w:szCs w:val="28"/>
          <w:lang w:val="en-US" w:eastAsia="zh-CN"/>
        </w:rPr>
        <w:t>紧扣海陵主城区核心定位，主动承接城市消费和产业外溢，发展服务主城的休闲农业、康养旅居、科创文创等业态，形成“城市品质服务、乡村生态栖居”的互补模式；推动城乡道路、供水供电、污水治理、通信网络等基础设施对标主城标准，推动城市教育、医疗、养老、文化等优质资源向乡村延伸，补齐乡村公共服务短板，让村民在家门口享受主城品质服务。</w:t>
      </w:r>
    </w:p>
    <w:p w14:paraId="11C9CFFD">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eastAsia="仿宋" w:cs="仿宋"/>
          <w:sz w:val="28"/>
          <w:szCs w:val="28"/>
          <w:lang w:val="en-US" w:eastAsia="zh-CN"/>
        </w:rPr>
      </w:pPr>
      <w:r>
        <w:rPr>
          <w:rFonts w:hint="eastAsia" w:eastAsia="仿宋" w:cs="仿宋"/>
          <w:b/>
          <w:bCs w:val="0"/>
          <w:sz w:val="28"/>
          <w:szCs w:val="28"/>
          <w:lang w:val="en-US" w:eastAsia="zh-CN"/>
        </w:rPr>
        <w:t>（2）强化水系田园联动。</w:t>
      </w:r>
      <w:r>
        <w:rPr>
          <w:rFonts w:hint="eastAsia" w:eastAsia="仿宋" w:cs="仿宋"/>
          <w:sz w:val="28"/>
          <w:szCs w:val="28"/>
          <w:lang w:val="en-US" w:eastAsia="zh-CN"/>
        </w:rPr>
        <w:t>以古盐运河、龙溪港、泰东河等水系为脉络，推进退圩还湖、河道清淤、岸线整治、幸福河湖建设；整合连片农田、林地、湿地资源，打造规模化、景观化田园风光带，保留乡村原生肌理，优化农房风貌、庭院绿化、村口景观；将水系田园生态优势转化为宜居优势，打造滨水步道、田园绿道、休闲广场等公共空间，推动生态景观与村民生活、休闲游憩深度融合。</w:t>
      </w:r>
    </w:p>
    <w:p w14:paraId="2563BB81">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eastAsia="仿宋" w:cs="仿宋"/>
          <w:sz w:val="28"/>
          <w:szCs w:val="28"/>
          <w:lang w:val="en-US" w:eastAsia="zh-CN"/>
        </w:rPr>
      </w:pPr>
      <w:r>
        <w:rPr>
          <w:rFonts w:hint="eastAsia" w:eastAsia="仿宋" w:cs="仿宋"/>
          <w:b/>
          <w:bCs w:val="0"/>
          <w:sz w:val="28"/>
          <w:szCs w:val="28"/>
          <w:lang w:val="en-US" w:eastAsia="zh-CN"/>
        </w:rPr>
        <w:t>（3）盘活乡村闲置资源。</w:t>
      </w:r>
      <w:r>
        <w:rPr>
          <w:rFonts w:hint="eastAsia" w:eastAsia="仿宋" w:cs="仿宋"/>
          <w:sz w:val="28"/>
          <w:szCs w:val="28"/>
          <w:lang w:val="en-US" w:eastAsia="zh-CN"/>
        </w:rPr>
        <w:t>盘活利用乡村闲置资源，将闲置农房、空心院落改造为乡村民宿、共享庭院、文创工作室、非遗工坊等，支持民宿经济、户外露营、宠物经济、婚纱摄影等乡村新型服务业发展；支持搭建乡创空间、农产品直播基地、短视频创作基地等，激发乡村创新创业活力；深挖农耕文化、生态景观等资源潜力，拓展田园采摘、亲子研学、农耕体验、乡村露营、滨水休闲等多元场景，推动生态资源与休闲产业深度融合。</w:t>
      </w:r>
    </w:p>
    <w:p w14:paraId="57FE27D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仿宋"/>
          <w:b/>
          <w:bCs w:val="0"/>
          <w:sz w:val="28"/>
          <w:szCs w:val="28"/>
          <w:lang w:val="en-US" w:eastAsia="zh-CN"/>
        </w:rPr>
      </w:pPr>
      <w:r>
        <w:rPr>
          <w:rFonts w:hint="eastAsia" w:eastAsia="仿宋" w:cs="仿宋"/>
          <w:b/>
          <w:bCs w:val="0"/>
          <w:sz w:val="28"/>
          <w:szCs w:val="28"/>
          <w:lang w:val="en-US" w:eastAsia="zh-CN"/>
        </w:rPr>
        <w:t>七</w:t>
      </w:r>
      <w:r>
        <w:rPr>
          <w:rFonts w:hint="eastAsia" w:ascii="Times New Roman" w:hAnsi="Times New Roman" w:eastAsia="仿宋" w:cs="仿宋"/>
          <w:b/>
          <w:bCs w:val="0"/>
          <w:sz w:val="28"/>
          <w:szCs w:val="28"/>
          <w:lang w:val="en-US" w:eastAsia="zh-CN"/>
        </w:rPr>
        <w:t>、</w:t>
      </w:r>
      <w:r>
        <w:rPr>
          <w:rFonts w:hint="eastAsia" w:eastAsia="仿宋" w:cs="仿宋"/>
          <w:b/>
          <w:bCs w:val="0"/>
          <w:sz w:val="28"/>
          <w:szCs w:val="28"/>
          <w:lang w:val="en-US" w:eastAsia="zh-CN"/>
        </w:rPr>
        <w:t>全域土地综合整治</w:t>
      </w:r>
      <w:r>
        <w:rPr>
          <w:rFonts w:hint="eastAsia" w:ascii="Times New Roman" w:hAnsi="Times New Roman" w:eastAsia="仿宋" w:cs="仿宋"/>
          <w:b/>
          <w:bCs w:val="0"/>
          <w:sz w:val="28"/>
          <w:szCs w:val="28"/>
          <w:lang w:val="en-US" w:eastAsia="zh-CN"/>
        </w:rPr>
        <w:t>项目</w:t>
      </w:r>
    </w:p>
    <w:p w14:paraId="61DEC2E0">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通过推进村庄规划编制实施、开展全域土地综合整治，构建系统化空间格局，统筹乡村生产、生活、生态空间布局，促进城乡区域协调发展。</w:t>
      </w:r>
    </w:p>
    <w:p w14:paraId="47438586">
      <w:pPr>
        <w:pStyle w:val="2"/>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 w:cs="仿宋"/>
          <w:b w:val="0"/>
          <w:bCs/>
          <w:sz w:val="28"/>
          <w:szCs w:val="28"/>
          <w:lang w:val="en-US" w:eastAsia="zh-CN"/>
        </w:rPr>
      </w:pPr>
      <w:r>
        <w:rPr>
          <w:rFonts w:hint="eastAsia" w:eastAsia="仿宋" w:cs="仿宋"/>
          <w:b/>
          <w:bCs w:val="0"/>
          <w:sz w:val="28"/>
          <w:szCs w:val="28"/>
          <w:lang w:val="en-US" w:eastAsia="zh-CN"/>
        </w:rPr>
        <w:t>（1）农用地整理。</w:t>
      </w:r>
      <w:r>
        <w:rPr>
          <w:rFonts w:hint="eastAsia" w:eastAsia="仿宋" w:cs="仿宋"/>
          <w:b w:val="0"/>
          <w:bCs/>
          <w:sz w:val="28"/>
          <w:szCs w:val="28"/>
          <w:lang w:val="en-US" w:eastAsia="zh-CN"/>
        </w:rPr>
        <w:t>采取“承包权不动、经营权连片”方式，推进耕地集中连片，继续推进“小田变大田”改革试点，开展废弃地、灾毁地复垦与耕地恢复，完善补充耕地指标“储备库”与市场化交易机制，保障项目资金平衡。全面推进高标准农田建设，完善灌排、道路、电力、物联网监测系统，实施生态型犁深翻、绿色防控，打造稻麦科技示范方与绿色防控基地。依托国家现代农业产业园等平台载体，促进土地流转与规模经营，加强家庭农场、农业龙头企业培育，提升规模化、集约化水平，推动农业产业融合发展。</w:t>
      </w:r>
    </w:p>
    <w:p w14:paraId="7A514A25">
      <w:pPr>
        <w:pStyle w:val="2"/>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 w:cs="仿宋"/>
          <w:b/>
          <w:bCs w:val="0"/>
          <w:sz w:val="28"/>
          <w:szCs w:val="28"/>
          <w:lang w:val="en-US" w:eastAsia="zh-CN"/>
        </w:rPr>
      </w:pPr>
      <w:r>
        <w:rPr>
          <w:rFonts w:hint="eastAsia" w:eastAsia="仿宋" w:cs="仿宋"/>
          <w:b/>
          <w:bCs w:val="0"/>
          <w:sz w:val="28"/>
          <w:szCs w:val="28"/>
          <w:lang w:val="en-US" w:eastAsia="zh-CN"/>
        </w:rPr>
        <w:t>（2）建设用地整理。</w:t>
      </w:r>
      <w:r>
        <w:rPr>
          <w:rFonts w:hint="eastAsia" w:eastAsia="仿宋" w:cs="仿宋"/>
          <w:b w:val="0"/>
          <w:bCs/>
          <w:sz w:val="28"/>
          <w:szCs w:val="28"/>
          <w:lang w:val="en-US" w:eastAsia="zh-CN"/>
        </w:rPr>
        <w:t>聚焦低效用地腾退、村庄布局优化、存量盘活、指标统筹，破解空间瓶颈，保障发展用地。实施空心村、小微村、闲置宅基地拆旧复垦，腾退建设用地指标，盘活闲置土地、老旧厂房、低效工业用地，优先用于乡村公共服务、产业发展等。创新用地机制与指标管理，推行城乡建设用地增减挂钩，拆旧复垦与建新安置统筹实施，建立“财政奖补+融资撬动+市场投入”多元化投入机制，整合涉农资金，引导社会资本参与。</w:t>
      </w:r>
    </w:p>
    <w:p w14:paraId="75A485D3">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仿宋" w:cs="仿宋"/>
          <w:sz w:val="28"/>
          <w:szCs w:val="28"/>
          <w:lang w:val="en-US" w:eastAsia="zh-CN"/>
        </w:rPr>
      </w:pPr>
      <w:r>
        <w:rPr>
          <w:rFonts w:hint="eastAsia" w:eastAsia="仿宋" w:cs="仿宋"/>
          <w:b/>
          <w:bCs w:val="0"/>
          <w:sz w:val="28"/>
          <w:szCs w:val="28"/>
          <w:lang w:val="en-US" w:eastAsia="zh-CN"/>
        </w:rPr>
        <w:t>（3）乡村生态保护修复</w:t>
      </w:r>
      <w:r>
        <w:rPr>
          <w:rFonts w:hint="eastAsia" w:ascii="Times New Roman" w:hAnsi="Times New Roman" w:eastAsia="仿宋" w:cs="仿宋"/>
          <w:b/>
          <w:bCs w:val="0"/>
          <w:sz w:val="28"/>
          <w:szCs w:val="28"/>
          <w:lang w:val="en-US" w:eastAsia="zh-CN"/>
        </w:rPr>
        <w:t>。</w:t>
      </w:r>
      <w:r>
        <w:rPr>
          <w:rFonts w:hint="eastAsia" w:ascii="Times New Roman" w:hAnsi="Times New Roman" w:eastAsia="仿宋" w:cs="仿宋"/>
          <w:b w:val="0"/>
          <w:bCs/>
          <w:sz w:val="28"/>
          <w:szCs w:val="28"/>
          <w:lang w:val="en-US" w:eastAsia="zh-CN"/>
        </w:rPr>
        <w:t>立足里下河水乡、城郊田园的生态基底，紧扣主城区生态宜居要求，对全域水系、林网、破损土地、乡村小微生态进行系统修</w:t>
      </w:r>
      <w:r>
        <w:rPr>
          <w:rFonts w:hint="eastAsia" w:ascii="Times New Roman" w:hAnsi="Times New Roman" w:eastAsia="仿宋" w:cs="仿宋"/>
          <w:sz w:val="28"/>
          <w:szCs w:val="28"/>
          <w:lang w:val="en-US" w:eastAsia="zh-CN"/>
        </w:rPr>
        <w:t>复</w:t>
      </w:r>
      <w:r>
        <w:rPr>
          <w:rFonts w:hint="eastAsia" w:eastAsia="仿宋" w:cs="仿宋"/>
          <w:sz w:val="28"/>
          <w:szCs w:val="28"/>
          <w:lang w:val="en-US" w:eastAsia="zh-CN"/>
        </w:rPr>
        <w:t>。</w:t>
      </w:r>
      <w:r>
        <w:rPr>
          <w:rFonts w:hint="eastAsia" w:ascii="Times New Roman" w:hAnsi="Times New Roman" w:eastAsia="仿宋" w:cs="仿宋"/>
          <w:sz w:val="28"/>
          <w:szCs w:val="28"/>
          <w:lang w:val="en-US" w:eastAsia="zh-CN"/>
        </w:rPr>
        <w:t>推进龙溪港小流域、溱溪河水环境综合治理</w:t>
      </w:r>
      <w:r>
        <w:rPr>
          <w:rFonts w:hint="eastAsia" w:eastAsia="仿宋" w:cs="仿宋"/>
          <w:sz w:val="28"/>
          <w:szCs w:val="28"/>
          <w:lang w:val="en-US" w:eastAsia="zh-CN"/>
        </w:rPr>
        <w:t>，</w:t>
      </w:r>
      <w:r>
        <w:rPr>
          <w:rFonts w:hint="eastAsia" w:ascii="Times New Roman" w:hAnsi="Times New Roman" w:eastAsia="仿宋" w:cs="仿宋"/>
          <w:sz w:val="28"/>
          <w:szCs w:val="28"/>
          <w:lang w:val="en-US" w:eastAsia="zh-CN"/>
        </w:rPr>
        <w:t>实施退圩还湖、水系连通、清淤疏浚、生态护岸</w:t>
      </w:r>
      <w:r>
        <w:rPr>
          <w:rFonts w:hint="eastAsia" w:eastAsia="仿宋" w:cs="仿宋"/>
          <w:sz w:val="28"/>
          <w:szCs w:val="28"/>
          <w:lang w:val="en-US" w:eastAsia="zh-CN"/>
        </w:rPr>
        <w:t>，利用边角地、废弃地建设街头游园、口袋公园，推进农田林网、道路绿化、村庄绿化一体化建设，构建生态廊道，提升碳汇能力。全域推进户厕改造、生活污水治理、垃圾分类等人居环境整治，建立建管并重、全域提升的长效管护机制。</w:t>
      </w:r>
      <w:r>
        <w:rPr>
          <w:rFonts w:hint="eastAsia" w:ascii="Times New Roman" w:hAnsi="Times New Roman" w:eastAsia="仿宋" w:cs="仿宋"/>
          <w:sz w:val="28"/>
          <w:szCs w:val="28"/>
          <w:lang w:val="en-US" w:eastAsia="zh-CN"/>
        </w:rPr>
        <w:t>打造“水网相通、林网相连、田网相融、城乡相映”的全域生态体系，让乡村生态成为主城区的“生态屏障”和“休闲后花园”。</w:t>
      </w:r>
    </w:p>
    <w:p w14:paraId="4CE42A01">
      <w:pPr>
        <w:pStyle w:val="2"/>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仿宋" w:cs="仿宋"/>
          <w:sz w:val="28"/>
          <w:szCs w:val="28"/>
          <w:lang w:val="en-US" w:eastAsia="zh-CN"/>
        </w:rPr>
      </w:pPr>
      <w:r>
        <w:rPr>
          <w:rFonts w:hint="eastAsia" w:eastAsia="仿宋" w:cs="仿宋"/>
          <w:b/>
          <w:bCs w:val="0"/>
          <w:sz w:val="28"/>
          <w:szCs w:val="28"/>
          <w:lang w:val="en-US" w:eastAsia="zh-CN"/>
        </w:rPr>
        <w:t>（4）乡村特色资源保护利用。</w:t>
      </w:r>
      <w:r>
        <w:rPr>
          <w:rFonts w:hint="eastAsia" w:eastAsia="仿宋" w:cs="仿宋"/>
          <w:sz w:val="28"/>
          <w:szCs w:val="28"/>
          <w:lang w:val="en-US" w:eastAsia="zh-CN"/>
        </w:rPr>
        <w:t>挖掘水乡文化、农耕文化、非遗文化、红色文化等本土文化资源，发挥乡村的生态涵养、健康养老等多重功能与价值，做好乡村历史文化保护利用工作。坚持“小尺度、渐进式、修旧如旧”，保护历史遗存，推进钟楼巷、十胜街、北山寺街等历史街区微更新，保留街巷肌理、烟火气。打造红色教育基地、非遗展示馆，建设沉浸式文化空间，活化利用闲置民居，培育特色业态、网红打卡地，发展文化体验、研学旅行、民俗旅游，打造文旅融合新场景。</w:t>
      </w:r>
    </w:p>
    <w:p w14:paraId="643E8205">
      <w:pPr>
        <w:rPr>
          <w:rFonts w:hint="default"/>
          <w:lang w:val="en-US"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8B65734F-DAE4-484E-B54E-3E9C839C6A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embedRegular r:id="rId2" w:fontKey="{7E7D977F-3B20-481B-AE95-6D122860E467}"/>
  </w:font>
  <w:font w:name="楷体">
    <w:panose1 w:val="02010609060101010101"/>
    <w:charset w:val="86"/>
    <w:family w:val="auto"/>
    <w:pitch w:val="default"/>
    <w:sig w:usb0="800002BF" w:usb1="38CF7CFA" w:usb2="00000016" w:usb3="00000000" w:csb0="00040001" w:csb1="00000000"/>
    <w:embedRegular r:id="rId3" w:fontKey="{FF7D4BA0-024C-4578-BA44-88925F4F59D8}"/>
  </w:font>
  <w:font w:name="Calibri Light">
    <w:panose1 w:val="020F0302020204030204"/>
    <w:charset w:val="00"/>
    <w:family w:val="auto"/>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E3897E94-7CB6-45C3-8354-E141C4B7644D}"/>
  </w:font>
  <w:font w:name="华文中宋">
    <w:panose1 w:val="02010600040101010101"/>
    <w:charset w:val="86"/>
    <w:family w:val="auto"/>
    <w:pitch w:val="default"/>
    <w:sig w:usb0="00000287" w:usb1="080F0000" w:usb2="00000000" w:usb3="00000000" w:csb0="0004009F" w:csb1="DFD70000"/>
    <w:embedRegular r:id="rId5" w:fontKey="{D05859FA-6DA0-40DE-A156-B099C54C79BD}"/>
  </w:font>
  <w:font w:name="方正黑体_GBK">
    <w:panose1 w:val="03000509000000000000"/>
    <w:charset w:val="86"/>
    <w:family w:val="script"/>
    <w:pitch w:val="default"/>
    <w:sig w:usb0="00000001" w:usb1="080E0000" w:usb2="00000000" w:usb3="00000000" w:csb0="00040000" w:csb1="00000000"/>
    <w:embedRegular r:id="rId6" w:fontKey="{7F09CA18-F598-4D43-918F-F95EE9668103}"/>
  </w:font>
  <w:font w:name="Meiryo">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4D55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6A2E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6B7C9">
                          <w:pPr>
                            <w:pStyle w:val="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06B7C9">
                    <w:pPr>
                      <w:pStyle w:val="8"/>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726B3">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25187">
                          <w:pPr>
                            <w:pStyle w:val="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E25187">
                    <w:pPr>
                      <w:pStyle w:val="8"/>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390AAC"/>
    <w:rsid w:val="00250A4A"/>
    <w:rsid w:val="0026154C"/>
    <w:rsid w:val="00613744"/>
    <w:rsid w:val="006360BD"/>
    <w:rsid w:val="00A35DA8"/>
    <w:rsid w:val="00A5311F"/>
    <w:rsid w:val="00AD052B"/>
    <w:rsid w:val="00C80085"/>
    <w:rsid w:val="00D13BE3"/>
    <w:rsid w:val="00D43619"/>
    <w:rsid w:val="00D64AE1"/>
    <w:rsid w:val="00DE1624"/>
    <w:rsid w:val="010F79B9"/>
    <w:rsid w:val="011F1811"/>
    <w:rsid w:val="01352CEB"/>
    <w:rsid w:val="01665D29"/>
    <w:rsid w:val="016F1E89"/>
    <w:rsid w:val="01791910"/>
    <w:rsid w:val="01814756"/>
    <w:rsid w:val="01B66460"/>
    <w:rsid w:val="01C55A56"/>
    <w:rsid w:val="01D24C8E"/>
    <w:rsid w:val="01D25B9D"/>
    <w:rsid w:val="01D9791A"/>
    <w:rsid w:val="01F14DFB"/>
    <w:rsid w:val="02277D98"/>
    <w:rsid w:val="02316FEE"/>
    <w:rsid w:val="025D3C6A"/>
    <w:rsid w:val="02755518"/>
    <w:rsid w:val="02975B92"/>
    <w:rsid w:val="02CA5106"/>
    <w:rsid w:val="02D41F0B"/>
    <w:rsid w:val="02D44351"/>
    <w:rsid w:val="02FD5E54"/>
    <w:rsid w:val="03140B0F"/>
    <w:rsid w:val="031D402A"/>
    <w:rsid w:val="03394EB3"/>
    <w:rsid w:val="03455F4E"/>
    <w:rsid w:val="0369567C"/>
    <w:rsid w:val="038E716D"/>
    <w:rsid w:val="03933817"/>
    <w:rsid w:val="03B56276"/>
    <w:rsid w:val="03D261DF"/>
    <w:rsid w:val="03D674BC"/>
    <w:rsid w:val="03EB475A"/>
    <w:rsid w:val="0401090C"/>
    <w:rsid w:val="040F1E36"/>
    <w:rsid w:val="04340365"/>
    <w:rsid w:val="04BE5F37"/>
    <w:rsid w:val="04BE7047"/>
    <w:rsid w:val="04DD74D4"/>
    <w:rsid w:val="04E254D6"/>
    <w:rsid w:val="04EB2771"/>
    <w:rsid w:val="04F85137"/>
    <w:rsid w:val="050A1175"/>
    <w:rsid w:val="053B68D4"/>
    <w:rsid w:val="054B35C3"/>
    <w:rsid w:val="055600FC"/>
    <w:rsid w:val="05644F36"/>
    <w:rsid w:val="059B00A7"/>
    <w:rsid w:val="05A25958"/>
    <w:rsid w:val="05AD1B88"/>
    <w:rsid w:val="05FE4192"/>
    <w:rsid w:val="06091535"/>
    <w:rsid w:val="060B5ED6"/>
    <w:rsid w:val="06192079"/>
    <w:rsid w:val="064437DD"/>
    <w:rsid w:val="0646242B"/>
    <w:rsid w:val="06563FCE"/>
    <w:rsid w:val="06600387"/>
    <w:rsid w:val="067213B4"/>
    <w:rsid w:val="067B7607"/>
    <w:rsid w:val="06885B32"/>
    <w:rsid w:val="06966EC0"/>
    <w:rsid w:val="06B02172"/>
    <w:rsid w:val="06BC2999"/>
    <w:rsid w:val="06BE0C6B"/>
    <w:rsid w:val="06E749D0"/>
    <w:rsid w:val="073F0721"/>
    <w:rsid w:val="07583B61"/>
    <w:rsid w:val="07724E37"/>
    <w:rsid w:val="077F1302"/>
    <w:rsid w:val="07E6391F"/>
    <w:rsid w:val="089214E5"/>
    <w:rsid w:val="08B71FD2"/>
    <w:rsid w:val="08FF7358"/>
    <w:rsid w:val="090B72F2"/>
    <w:rsid w:val="09106CA4"/>
    <w:rsid w:val="092F1F00"/>
    <w:rsid w:val="09520ED8"/>
    <w:rsid w:val="09710806"/>
    <w:rsid w:val="09A90D29"/>
    <w:rsid w:val="09D50AB9"/>
    <w:rsid w:val="09E52755"/>
    <w:rsid w:val="09F465B4"/>
    <w:rsid w:val="0A0C55F9"/>
    <w:rsid w:val="0A2B476D"/>
    <w:rsid w:val="0A471937"/>
    <w:rsid w:val="0A505D1A"/>
    <w:rsid w:val="0A740EC6"/>
    <w:rsid w:val="0A78002C"/>
    <w:rsid w:val="0A7B5FF8"/>
    <w:rsid w:val="0AA74B5F"/>
    <w:rsid w:val="0AAB2EA5"/>
    <w:rsid w:val="0AF12517"/>
    <w:rsid w:val="0B2B73F8"/>
    <w:rsid w:val="0B344B04"/>
    <w:rsid w:val="0B3715C9"/>
    <w:rsid w:val="0B380146"/>
    <w:rsid w:val="0B627B5F"/>
    <w:rsid w:val="0B8F7142"/>
    <w:rsid w:val="0B90340A"/>
    <w:rsid w:val="0BA150D6"/>
    <w:rsid w:val="0BDF7B09"/>
    <w:rsid w:val="0BF279A7"/>
    <w:rsid w:val="0CA77552"/>
    <w:rsid w:val="0CB3012C"/>
    <w:rsid w:val="0CDF5AF2"/>
    <w:rsid w:val="0D134683"/>
    <w:rsid w:val="0D244E26"/>
    <w:rsid w:val="0D410CF8"/>
    <w:rsid w:val="0D5F4143"/>
    <w:rsid w:val="0D6E42F3"/>
    <w:rsid w:val="0D75598F"/>
    <w:rsid w:val="0D980D93"/>
    <w:rsid w:val="0D9F6E9B"/>
    <w:rsid w:val="0DCB704F"/>
    <w:rsid w:val="0DD359BA"/>
    <w:rsid w:val="0DD93147"/>
    <w:rsid w:val="0DFC6427"/>
    <w:rsid w:val="0E05592B"/>
    <w:rsid w:val="0E4567B3"/>
    <w:rsid w:val="0E545297"/>
    <w:rsid w:val="0E864564"/>
    <w:rsid w:val="0E924CDE"/>
    <w:rsid w:val="0EA87E5A"/>
    <w:rsid w:val="0F032819"/>
    <w:rsid w:val="0F0A34B9"/>
    <w:rsid w:val="0F745375"/>
    <w:rsid w:val="0FCC0F76"/>
    <w:rsid w:val="0FDA3B91"/>
    <w:rsid w:val="0FE4264A"/>
    <w:rsid w:val="100D7DF3"/>
    <w:rsid w:val="100F5919"/>
    <w:rsid w:val="106D1D5D"/>
    <w:rsid w:val="10C2608D"/>
    <w:rsid w:val="10E0563D"/>
    <w:rsid w:val="10EA3E68"/>
    <w:rsid w:val="11051EBC"/>
    <w:rsid w:val="110E3C0C"/>
    <w:rsid w:val="11783499"/>
    <w:rsid w:val="117D2F3D"/>
    <w:rsid w:val="11C82BA5"/>
    <w:rsid w:val="11E67002"/>
    <w:rsid w:val="120C2983"/>
    <w:rsid w:val="12542FA0"/>
    <w:rsid w:val="125C296C"/>
    <w:rsid w:val="12692C28"/>
    <w:rsid w:val="12745F08"/>
    <w:rsid w:val="129E6898"/>
    <w:rsid w:val="129F443B"/>
    <w:rsid w:val="12A8518D"/>
    <w:rsid w:val="12C47E40"/>
    <w:rsid w:val="12E3158A"/>
    <w:rsid w:val="12F714BE"/>
    <w:rsid w:val="1308765F"/>
    <w:rsid w:val="13225964"/>
    <w:rsid w:val="133B50BF"/>
    <w:rsid w:val="136374DF"/>
    <w:rsid w:val="13674B86"/>
    <w:rsid w:val="137E5FD4"/>
    <w:rsid w:val="137F720A"/>
    <w:rsid w:val="138A52B7"/>
    <w:rsid w:val="139C67BB"/>
    <w:rsid w:val="13A12C42"/>
    <w:rsid w:val="13A9398F"/>
    <w:rsid w:val="13BD2DA1"/>
    <w:rsid w:val="13D1348B"/>
    <w:rsid w:val="13D5193B"/>
    <w:rsid w:val="13D87856"/>
    <w:rsid w:val="13E06DE0"/>
    <w:rsid w:val="13ED2102"/>
    <w:rsid w:val="13F5693B"/>
    <w:rsid w:val="140C75E1"/>
    <w:rsid w:val="14151E07"/>
    <w:rsid w:val="141B2FFC"/>
    <w:rsid w:val="14617942"/>
    <w:rsid w:val="146179FB"/>
    <w:rsid w:val="148646A8"/>
    <w:rsid w:val="14B27425"/>
    <w:rsid w:val="14C447F8"/>
    <w:rsid w:val="14C64A14"/>
    <w:rsid w:val="14FE5E73"/>
    <w:rsid w:val="15035F1C"/>
    <w:rsid w:val="151B6C2C"/>
    <w:rsid w:val="1527720C"/>
    <w:rsid w:val="153A336F"/>
    <w:rsid w:val="15405C26"/>
    <w:rsid w:val="15406E6B"/>
    <w:rsid w:val="155142DE"/>
    <w:rsid w:val="155609F9"/>
    <w:rsid w:val="159468F5"/>
    <w:rsid w:val="159A6E34"/>
    <w:rsid w:val="15B33927"/>
    <w:rsid w:val="15B40EDA"/>
    <w:rsid w:val="15EC4D86"/>
    <w:rsid w:val="15F258C2"/>
    <w:rsid w:val="15FB0CF5"/>
    <w:rsid w:val="160550C9"/>
    <w:rsid w:val="162837C6"/>
    <w:rsid w:val="165346A5"/>
    <w:rsid w:val="165C1626"/>
    <w:rsid w:val="166FD426"/>
    <w:rsid w:val="16A336C7"/>
    <w:rsid w:val="16A8208D"/>
    <w:rsid w:val="16AB3EC2"/>
    <w:rsid w:val="16AE4B64"/>
    <w:rsid w:val="16E60A4C"/>
    <w:rsid w:val="16E91B19"/>
    <w:rsid w:val="172C5003"/>
    <w:rsid w:val="17356021"/>
    <w:rsid w:val="174D40D3"/>
    <w:rsid w:val="17550AD5"/>
    <w:rsid w:val="17615F65"/>
    <w:rsid w:val="17650D4D"/>
    <w:rsid w:val="177C6796"/>
    <w:rsid w:val="1780351C"/>
    <w:rsid w:val="17BB0AD0"/>
    <w:rsid w:val="17C26F0A"/>
    <w:rsid w:val="17C76AD9"/>
    <w:rsid w:val="17D47866"/>
    <w:rsid w:val="17E1744C"/>
    <w:rsid w:val="17E30B5F"/>
    <w:rsid w:val="18194E5B"/>
    <w:rsid w:val="184D4A40"/>
    <w:rsid w:val="18AC4909"/>
    <w:rsid w:val="18E47271"/>
    <w:rsid w:val="18E92B23"/>
    <w:rsid w:val="18EA61D2"/>
    <w:rsid w:val="190A35A1"/>
    <w:rsid w:val="191249A7"/>
    <w:rsid w:val="191905F7"/>
    <w:rsid w:val="19201045"/>
    <w:rsid w:val="1964139B"/>
    <w:rsid w:val="197F0DB4"/>
    <w:rsid w:val="1988557E"/>
    <w:rsid w:val="19915D32"/>
    <w:rsid w:val="19986210"/>
    <w:rsid w:val="19A44710"/>
    <w:rsid w:val="19AC5F87"/>
    <w:rsid w:val="19D0052B"/>
    <w:rsid w:val="19D133E7"/>
    <w:rsid w:val="19FC5530"/>
    <w:rsid w:val="1A0A7151"/>
    <w:rsid w:val="1A280500"/>
    <w:rsid w:val="1A3411EE"/>
    <w:rsid w:val="1A384090"/>
    <w:rsid w:val="1A487BAE"/>
    <w:rsid w:val="1A962711"/>
    <w:rsid w:val="1A9E092D"/>
    <w:rsid w:val="1ADE6206"/>
    <w:rsid w:val="1AF04416"/>
    <w:rsid w:val="1AFD4C2C"/>
    <w:rsid w:val="1B0A2FA7"/>
    <w:rsid w:val="1B2D30F7"/>
    <w:rsid w:val="1B311A1A"/>
    <w:rsid w:val="1B3B6643"/>
    <w:rsid w:val="1B410951"/>
    <w:rsid w:val="1B5D1C74"/>
    <w:rsid w:val="1B5F141C"/>
    <w:rsid w:val="1B682381"/>
    <w:rsid w:val="1B6C4B70"/>
    <w:rsid w:val="1B70074E"/>
    <w:rsid w:val="1BA3616D"/>
    <w:rsid w:val="1BC20570"/>
    <w:rsid w:val="1BC30587"/>
    <w:rsid w:val="1BD45C69"/>
    <w:rsid w:val="1BE453D0"/>
    <w:rsid w:val="1BE931B1"/>
    <w:rsid w:val="1BFE4948"/>
    <w:rsid w:val="1C485D0F"/>
    <w:rsid w:val="1C57D7C2"/>
    <w:rsid w:val="1C6B7424"/>
    <w:rsid w:val="1C8B785C"/>
    <w:rsid w:val="1C9E2139"/>
    <w:rsid w:val="1CED3684"/>
    <w:rsid w:val="1D240D5D"/>
    <w:rsid w:val="1D556162"/>
    <w:rsid w:val="1D662E31"/>
    <w:rsid w:val="1D791B6F"/>
    <w:rsid w:val="1D813784"/>
    <w:rsid w:val="1D84707B"/>
    <w:rsid w:val="1DE008F5"/>
    <w:rsid w:val="1E03335F"/>
    <w:rsid w:val="1E0D7210"/>
    <w:rsid w:val="1E7F1517"/>
    <w:rsid w:val="1EB17E6B"/>
    <w:rsid w:val="1EB3600A"/>
    <w:rsid w:val="1EC2253F"/>
    <w:rsid w:val="1EE73F05"/>
    <w:rsid w:val="1F003265"/>
    <w:rsid w:val="1F271A3E"/>
    <w:rsid w:val="1F4F01FF"/>
    <w:rsid w:val="1F566F76"/>
    <w:rsid w:val="1F686148"/>
    <w:rsid w:val="1F832F21"/>
    <w:rsid w:val="1F9A0F77"/>
    <w:rsid w:val="1FDFE25C"/>
    <w:rsid w:val="1FEF6AA3"/>
    <w:rsid w:val="1FF561AE"/>
    <w:rsid w:val="20286583"/>
    <w:rsid w:val="20B222F9"/>
    <w:rsid w:val="20B34AC6"/>
    <w:rsid w:val="2118245A"/>
    <w:rsid w:val="21204FF0"/>
    <w:rsid w:val="21465528"/>
    <w:rsid w:val="214D162F"/>
    <w:rsid w:val="216774B2"/>
    <w:rsid w:val="216F74D4"/>
    <w:rsid w:val="217B1788"/>
    <w:rsid w:val="21856F41"/>
    <w:rsid w:val="21BA14E1"/>
    <w:rsid w:val="21C83B7A"/>
    <w:rsid w:val="21D00AD1"/>
    <w:rsid w:val="221E1850"/>
    <w:rsid w:val="221E19EC"/>
    <w:rsid w:val="222222BC"/>
    <w:rsid w:val="22540990"/>
    <w:rsid w:val="227B5090"/>
    <w:rsid w:val="22800727"/>
    <w:rsid w:val="22981651"/>
    <w:rsid w:val="22A879E9"/>
    <w:rsid w:val="22B842BF"/>
    <w:rsid w:val="22BD2FB3"/>
    <w:rsid w:val="23152DEF"/>
    <w:rsid w:val="23190119"/>
    <w:rsid w:val="23283F25"/>
    <w:rsid w:val="233B3E32"/>
    <w:rsid w:val="23B45803"/>
    <w:rsid w:val="23B56C8A"/>
    <w:rsid w:val="23BC14BC"/>
    <w:rsid w:val="23CB1ACA"/>
    <w:rsid w:val="23CF38CC"/>
    <w:rsid w:val="23D62B68"/>
    <w:rsid w:val="23DC68EC"/>
    <w:rsid w:val="23F0560A"/>
    <w:rsid w:val="23F46F07"/>
    <w:rsid w:val="23FB0F42"/>
    <w:rsid w:val="23FC17AA"/>
    <w:rsid w:val="24070C23"/>
    <w:rsid w:val="240E507C"/>
    <w:rsid w:val="242F7169"/>
    <w:rsid w:val="24375881"/>
    <w:rsid w:val="244F6828"/>
    <w:rsid w:val="245109A3"/>
    <w:rsid w:val="245117F2"/>
    <w:rsid w:val="2492792A"/>
    <w:rsid w:val="24984D89"/>
    <w:rsid w:val="24B54B46"/>
    <w:rsid w:val="24F43A2F"/>
    <w:rsid w:val="24FC68BD"/>
    <w:rsid w:val="2506486B"/>
    <w:rsid w:val="2524215A"/>
    <w:rsid w:val="253508C5"/>
    <w:rsid w:val="253A6F34"/>
    <w:rsid w:val="253B2693"/>
    <w:rsid w:val="253E746C"/>
    <w:rsid w:val="255C6646"/>
    <w:rsid w:val="25607E4B"/>
    <w:rsid w:val="25612039"/>
    <w:rsid w:val="256565B0"/>
    <w:rsid w:val="25A37A36"/>
    <w:rsid w:val="25AC5561"/>
    <w:rsid w:val="25B34B41"/>
    <w:rsid w:val="25B42254"/>
    <w:rsid w:val="25B62595"/>
    <w:rsid w:val="25CB34D2"/>
    <w:rsid w:val="25D62F83"/>
    <w:rsid w:val="26395481"/>
    <w:rsid w:val="263C01A9"/>
    <w:rsid w:val="264520D7"/>
    <w:rsid w:val="2677349D"/>
    <w:rsid w:val="267D33B2"/>
    <w:rsid w:val="26A37EF2"/>
    <w:rsid w:val="26A511F8"/>
    <w:rsid w:val="26AF1B45"/>
    <w:rsid w:val="26B01787"/>
    <w:rsid w:val="26F81B7B"/>
    <w:rsid w:val="27790E83"/>
    <w:rsid w:val="278247CB"/>
    <w:rsid w:val="27A805A2"/>
    <w:rsid w:val="27AD3A0A"/>
    <w:rsid w:val="27E25625"/>
    <w:rsid w:val="27F32686"/>
    <w:rsid w:val="27F52496"/>
    <w:rsid w:val="28177567"/>
    <w:rsid w:val="283E1251"/>
    <w:rsid w:val="284B5CC6"/>
    <w:rsid w:val="28C9603D"/>
    <w:rsid w:val="28F4133C"/>
    <w:rsid w:val="28F6721F"/>
    <w:rsid w:val="29425829"/>
    <w:rsid w:val="295E4DC4"/>
    <w:rsid w:val="297A597E"/>
    <w:rsid w:val="299627B0"/>
    <w:rsid w:val="29A078DB"/>
    <w:rsid w:val="29B36EBE"/>
    <w:rsid w:val="29B63E38"/>
    <w:rsid w:val="29FA496B"/>
    <w:rsid w:val="29FA689B"/>
    <w:rsid w:val="29FD282F"/>
    <w:rsid w:val="2A366DD9"/>
    <w:rsid w:val="2A522B7B"/>
    <w:rsid w:val="2A533F29"/>
    <w:rsid w:val="2A6428AE"/>
    <w:rsid w:val="2A75163F"/>
    <w:rsid w:val="2A93421F"/>
    <w:rsid w:val="2AA61387"/>
    <w:rsid w:val="2ABC7F6F"/>
    <w:rsid w:val="2ABF1D23"/>
    <w:rsid w:val="2AC973CA"/>
    <w:rsid w:val="2AD2250F"/>
    <w:rsid w:val="2B095294"/>
    <w:rsid w:val="2B1D5EAC"/>
    <w:rsid w:val="2B4963B4"/>
    <w:rsid w:val="2B604E23"/>
    <w:rsid w:val="2B7A401B"/>
    <w:rsid w:val="2BA13B6B"/>
    <w:rsid w:val="2BBFA2E7"/>
    <w:rsid w:val="2BD9042B"/>
    <w:rsid w:val="2BD909D5"/>
    <w:rsid w:val="2BED38AA"/>
    <w:rsid w:val="2C4E7F91"/>
    <w:rsid w:val="2CAE5ED9"/>
    <w:rsid w:val="2CFF241A"/>
    <w:rsid w:val="2D195AC4"/>
    <w:rsid w:val="2D2D44A1"/>
    <w:rsid w:val="2D2E552D"/>
    <w:rsid w:val="2D390AAC"/>
    <w:rsid w:val="2D440F65"/>
    <w:rsid w:val="2D847639"/>
    <w:rsid w:val="2D9744CD"/>
    <w:rsid w:val="2D9E69AF"/>
    <w:rsid w:val="2DB54A70"/>
    <w:rsid w:val="2DDD12B9"/>
    <w:rsid w:val="2DED4F63"/>
    <w:rsid w:val="2E1E4B22"/>
    <w:rsid w:val="2E216A9E"/>
    <w:rsid w:val="2E290ADF"/>
    <w:rsid w:val="2E4B6A60"/>
    <w:rsid w:val="2E4F7F14"/>
    <w:rsid w:val="2E7E3F56"/>
    <w:rsid w:val="2E9E448B"/>
    <w:rsid w:val="2EC85C95"/>
    <w:rsid w:val="2ED8338C"/>
    <w:rsid w:val="2EE817B0"/>
    <w:rsid w:val="2EF60B6F"/>
    <w:rsid w:val="2F2148C9"/>
    <w:rsid w:val="2F2A207B"/>
    <w:rsid w:val="2F486EA2"/>
    <w:rsid w:val="2F4B7A11"/>
    <w:rsid w:val="2F4F4516"/>
    <w:rsid w:val="2FC43DA2"/>
    <w:rsid w:val="2FE71C08"/>
    <w:rsid w:val="2FE7D500"/>
    <w:rsid w:val="2FFB336C"/>
    <w:rsid w:val="30194CD3"/>
    <w:rsid w:val="303A4E3B"/>
    <w:rsid w:val="30455AC0"/>
    <w:rsid w:val="30590D3B"/>
    <w:rsid w:val="30737C5D"/>
    <w:rsid w:val="30D034A6"/>
    <w:rsid w:val="312476AC"/>
    <w:rsid w:val="312D69C7"/>
    <w:rsid w:val="31347947"/>
    <w:rsid w:val="3184443A"/>
    <w:rsid w:val="318E276E"/>
    <w:rsid w:val="32126FFE"/>
    <w:rsid w:val="32203942"/>
    <w:rsid w:val="32294115"/>
    <w:rsid w:val="324234D5"/>
    <w:rsid w:val="32713DBA"/>
    <w:rsid w:val="32715B68"/>
    <w:rsid w:val="3287138D"/>
    <w:rsid w:val="328F68FE"/>
    <w:rsid w:val="32E46A5B"/>
    <w:rsid w:val="32E825DF"/>
    <w:rsid w:val="32EC51EE"/>
    <w:rsid w:val="33570DAC"/>
    <w:rsid w:val="337F6FCE"/>
    <w:rsid w:val="338A6788"/>
    <w:rsid w:val="339159BF"/>
    <w:rsid w:val="33A73F79"/>
    <w:rsid w:val="33AC33D6"/>
    <w:rsid w:val="33B41843"/>
    <w:rsid w:val="33DA6921"/>
    <w:rsid w:val="33F325DD"/>
    <w:rsid w:val="33FF76FA"/>
    <w:rsid w:val="343435B3"/>
    <w:rsid w:val="345839EA"/>
    <w:rsid w:val="345D0ECE"/>
    <w:rsid w:val="34A61ACE"/>
    <w:rsid w:val="34BB3A10"/>
    <w:rsid w:val="34BF0675"/>
    <w:rsid w:val="34C05DB8"/>
    <w:rsid w:val="34CC64BD"/>
    <w:rsid w:val="34D55D7F"/>
    <w:rsid w:val="34E97C37"/>
    <w:rsid w:val="34F96BFD"/>
    <w:rsid w:val="35395F00"/>
    <w:rsid w:val="35BF71A8"/>
    <w:rsid w:val="35C75C95"/>
    <w:rsid w:val="35F56C9B"/>
    <w:rsid w:val="3612023A"/>
    <w:rsid w:val="36140B1F"/>
    <w:rsid w:val="361D3657"/>
    <w:rsid w:val="361E6488"/>
    <w:rsid w:val="3637422D"/>
    <w:rsid w:val="363C784E"/>
    <w:rsid w:val="367903AB"/>
    <w:rsid w:val="367C187B"/>
    <w:rsid w:val="3685055C"/>
    <w:rsid w:val="36AF9066"/>
    <w:rsid w:val="36B3590D"/>
    <w:rsid w:val="36BF68D6"/>
    <w:rsid w:val="36C46BAE"/>
    <w:rsid w:val="36D37A50"/>
    <w:rsid w:val="36D76309"/>
    <w:rsid w:val="36EF34FF"/>
    <w:rsid w:val="37121898"/>
    <w:rsid w:val="37177FCA"/>
    <w:rsid w:val="3726190B"/>
    <w:rsid w:val="37351769"/>
    <w:rsid w:val="37B214EF"/>
    <w:rsid w:val="37B669B3"/>
    <w:rsid w:val="37BF2ED1"/>
    <w:rsid w:val="37CF4810"/>
    <w:rsid w:val="37D77124"/>
    <w:rsid w:val="37DE1D5F"/>
    <w:rsid w:val="37FB1F88"/>
    <w:rsid w:val="38141C2A"/>
    <w:rsid w:val="3818328E"/>
    <w:rsid w:val="38524270"/>
    <w:rsid w:val="38633FD4"/>
    <w:rsid w:val="386D0923"/>
    <w:rsid w:val="387D5D71"/>
    <w:rsid w:val="388C7957"/>
    <w:rsid w:val="39367D41"/>
    <w:rsid w:val="39477E8C"/>
    <w:rsid w:val="395C2929"/>
    <w:rsid w:val="398A7A32"/>
    <w:rsid w:val="39A12FC4"/>
    <w:rsid w:val="39AE3D6B"/>
    <w:rsid w:val="39B37779"/>
    <w:rsid w:val="39CE3653"/>
    <w:rsid w:val="39DA1C33"/>
    <w:rsid w:val="39F45F3F"/>
    <w:rsid w:val="3A1322A6"/>
    <w:rsid w:val="3A210C44"/>
    <w:rsid w:val="3A2E1024"/>
    <w:rsid w:val="3A40479E"/>
    <w:rsid w:val="3A675260"/>
    <w:rsid w:val="3A79517B"/>
    <w:rsid w:val="3A7A7C33"/>
    <w:rsid w:val="3A7B57D6"/>
    <w:rsid w:val="3A9726AD"/>
    <w:rsid w:val="3A991B74"/>
    <w:rsid w:val="3ACE2921"/>
    <w:rsid w:val="3AFA6FEF"/>
    <w:rsid w:val="3B450930"/>
    <w:rsid w:val="3B691AD2"/>
    <w:rsid w:val="3B6B5A08"/>
    <w:rsid w:val="3B6E0EA9"/>
    <w:rsid w:val="3BB13F7E"/>
    <w:rsid w:val="3BEC75A6"/>
    <w:rsid w:val="3BEFC904"/>
    <w:rsid w:val="3BFFF5D7"/>
    <w:rsid w:val="3C147E29"/>
    <w:rsid w:val="3C43474B"/>
    <w:rsid w:val="3C49604E"/>
    <w:rsid w:val="3C5207B8"/>
    <w:rsid w:val="3CA20D52"/>
    <w:rsid w:val="3CA258D6"/>
    <w:rsid w:val="3CBB25DD"/>
    <w:rsid w:val="3CBC1EB2"/>
    <w:rsid w:val="3CC6494B"/>
    <w:rsid w:val="3CCA65A0"/>
    <w:rsid w:val="3CFB4FDE"/>
    <w:rsid w:val="3D232B5B"/>
    <w:rsid w:val="3D267C06"/>
    <w:rsid w:val="3D3A14D1"/>
    <w:rsid w:val="3D563222"/>
    <w:rsid w:val="3D5E2FF6"/>
    <w:rsid w:val="3D7A07C5"/>
    <w:rsid w:val="3D935C56"/>
    <w:rsid w:val="3DBA03C3"/>
    <w:rsid w:val="3DDE03FB"/>
    <w:rsid w:val="3DFD5D41"/>
    <w:rsid w:val="3DFFCFB8"/>
    <w:rsid w:val="3E65360E"/>
    <w:rsid w:val="3E79DE91"/>
    <w:rsid w:val="3E7E3AE6"/>
    <w:rsid w:val="3E8F782E"/>
    <w:rsid w:val="3E9D053F"/>
    <w:rsid w:val="3EAE5A4E"/>
    <w:rsid w:val="3EDB10EC"/>
    <w:rsid w:val="3F1D2789"/>
    <w:rsid w:val="3F1D4625"/>
    <w:rsid w:val="3F5FA65D"/>
    <w:rsid w:val="3F636838"/>
    <w:rsid w:val="3F865BC8"/>
    <w:rsid w:val="3F8E71B9"/>
    <w:rsid w:val="3F9C4BA0"/>
    <w:rsid w:val="3FA27361"/>
    <w:rsid w:val="3FAD28FA"/>
    <w:rsid w:val="3FC41290"/>
    <w:rsid w:val="3FCF4EE7"/>
    <w:rsid w:val="3FF616FF"/>
    <w:rsid w:val="3FFC19BD"/>
    <w:rsid w:val="3FFFE920"/>
    <w:rsid w:val="40034CE0"/>
    <w:rsid w:val="400C54DE"/>
    <w:rsid w:val="401541B2"/>
    <w:rsid w:val="40357A4F"/>
    <w:rsid w:val="403B001A"/>
    <w:rsid w:val="404154E1"/>
    <w:rsid w:val="404E344B"/>
    <w:rsid w:val="40526FD9"/>
    <w:rsid w:val="408847A8"/>
    <w:rsid w:val="409121C0"/>
    <w:rsid w:val="40991DE8"/>
    <w:rsid w:val="409D1CF0"/>
    <w:rsid w:val="40C20164"/>
    <w:rsid w:val="40C328A3"/>
    <w:rsid w:val="40CF6279"/>
    <w:rsid w:val="40D34CF2"/>
    <w:rsid w:val="40F24F08"/>
    <w:rsid w:val="40F47F9D"/>
    <w:rsid w:val="410564E7"/>
    <w:rsid w:val="411619D6"/>
    <w:rsid w:val="413936AC"/>
    <w:rsid w:val="41461ECC"/>
    <w:rsid w:val="41492350"/>
    <w:rsid w:val="41581D4D"/>
    <w:rsid w:val="41711969"/>
    <w:rsid w:val="41807B75"/>
    <w:rsid w:val="41841871"/>
    <w:rsid w:val="418A1F04"/>
    <w:rsid w:val="41A41176"/>
    <w:rsid w:val="41AE2C4F"/>
    <w:rsid w:val="41B370C8"/>
    <w:rsid w:val="41B82E6B"/>
    <w:rsid w:val="41C95079"/>
    <w:rsid w:val="41CD5EA7"/>
    <w:rsid w:val="41D06DB9"/>
    <w:rsid w:val="41E33C60"/>
    <w:rsid w:val="41EB7875"/>
    <w:rsid w:val="41F32BB9"/>
    <w:rsid w:val="42114C71"/>
    <w:rsid w:val="421901A8"/>
    <w:rsid w:val="422C131F"/>
    <w:rsid w:val="42493A39"/>
    <w:rsid w:val="425D1C65"/>
    <w:rsid w:val="42742F9B"/>
    <w:rsid w:val="428B348D"/>
    <w:rsid w:val="42925DB2"/>
    <w:rsid w:val="429331C4"/>
    <w:rsid w:val="42B307CB"/>
    <w:rsid w:val="42BC2E2F"/>
    <w:rsid w:val="42C13B2E"/>
    <w:rsid w:val="42C6151D"/>
    <w:rsid w:val="42D2752E"/>
    <w:rsid w:val="42D84B29"/>
    <w:rsid w:val="42E66EDA"/>
    <w:rsid w:val="42F8776E"/>
    <w:rsid w:val="42FE3875"/>
    <w:rsid w:val="43226237"/>
    <w:rsid w:val="432524CA"/>
    <w:rsid w:val="433C41A2"/>
    <w:rsid w:val="433D2677"/>
    <w:rsid w:val="4340382F"/>
    <w:rsid w:val="435B2CEF"/>
    <w:rsid w:val="435F483D"/>
    <w:rsid w:val="43722540"/>
    <w:rsid w:val="438016BA"/>
    <w:rsid w:val="43821076"/>
    <w:rsid w:val="4384785D"/>
    <w:rsid w:val="438F69E7"/>
    <w:rsid w:val="43900BE6"/>
    <w:rsid w:val="43AF17A0"/>
    <w:rsid w:val="43D52449"/>
    <w:rsid w:val="43E551AB"/>
    <w:rsid w:val="43F2740D"/>
    <w:rsid w:val="44245146"/>
    <w:rsid w:val="443350DA"/>
    <w:rsid w:val="443641F2"/>
    <w:rsid w:val="444A7FC7"/>
    <w:rsid w:val="446369C0"/>
    <w:rsid w:val="447E5D48"/>
    <w:rsid w:val="448612A3"/>
    <w:rsid w:val="449A0F4E"/>
    <w:rsid w:val="44B9600C"/>
    <w:rsid w:val="451C3BF0"/>
    <w:rsid w:val="45263757"/>
    <w:rsid w:val="45665F3C"/>
    <w:rsid w:val="45935451"/>
    <w:rsid w:val="45975B03"/>
    <w:rsid w:val="459B4FE2"/>
    <w:rsid w:val="45B14B9A"/>
    <w:rsid w:val="460B5A77"/>
    <w:rsid w:val="467C2B9E"/>
    <w:rsid w:val="46C50728"/>
    <w:rsid w:val="46CD35B6"/>
    <w:rsid w:val="46DA4E4A"/>
    <w:rsid w:val="46FA78FD"/>
    <w:rsid w:val="47067DB5"/>
    <w:rsid w:val="472649FE"/>
    <w:rsid w:val="472E27A2"/>
    <w:rsid w:val="474E7DCE"/>
    <w:rsid w:val="4750627C"/>
    <w:rsid w:val="478168DD"/>
    <w:rsid w:val="47850271"/>
    <w:rsid w:val="479B3DF7"/>
    <w:rsid w:val="47F72214"/>
    <w:rsid w:val="481E59F2"/>
    <w:rsid w:val="48403BBB"/>
    <w:rsid w:val="484940E2"/>
    <w:rsid w:val="486A59AC"/>
    <w:rsid w:val="487F3C0F"/>
    <w:rsid w:val="487F4151"/>
    <w:rsid w:val="48B77407"/>
    <w:rsid w:val="48C2276C"/>
    <w:rsid w:val="48F15F64"/>
    <w:rsid w:val="48F978DF"/>
    <w:rsid w:val="49192E41"/>
    <w:rsid w:val="492A2720"/>
    <w:rsid w:val="49357497"/>
    <w:rsid w:val="494F7FFB"/>
    <w:rsid w:val="49753D38"/>
    <w:rsid w:val="49AB26EA"/>
    <w:rsid w:val="4A133393"/>
    <w:rsid w:val="4A2E2C6A"/>
    <w:rsid w:val="4AA71688"/>
    <w:rsid w:val="4ABD162D"/>
    <w:rsid w:val="4AC9307C"/>
    <w:rsid w:val="4AEE3DA2"/>
    <w:rsid w:val="4B43620E"/>
    <w:rsid w:val="4B4B2196"/>
    <w:rsid w:val="4B4C5754"/>
    <w:rsid w:val="4B4C7C18"/>
    <w:rsid w:val="4B5C7EB2"/>
    <w:rsid w:val="4BD2265E"/>
    <w:rsid w:val="4BE01E83"/>
    <w:rsid w:val="4BEB5EDF"/>
    <w:rsid w:val="4BF058F8"/>
    <w:rsid w:val="4C1F59F2"/>
    <w:rsid w:val="4C280CC3"/>
    <w:rsid w:val="4C44475B"/>
    <w:rsid w:val="4C45100A"/>
    <w:rsid w:val="4C524DC1"/>
    <w:rsid w:val="4C7E1D8E"/>
    <w:rsid w:val="4C820C46"/>
    <w:rsid w:val="4C89181E"/>
    <w:rsid w:val="4CA706E5"/>
    <w:rsid w:val="4CA86B33"/>
    <w:rsid w:val="4CCC358C"/>
    <w:rsid w:val="4CDD7C2A"/>
    <w:rsid w:val="4D111FCA"/>
    <w:rsid w:val="4D210A97"/>
    <w:rsid w:val="4D2D5608"/>
    <w:rsid w:val="4D381F29"/>
    <w:rsid w:val="4D4759EB"/>
    <w:rsid w:val="4D4D0662"/>
    <w:rsid w:val="4D7C2DE1"/>
    <w:rsid w:val="4D97714E"/>
    <w:rsid w:val="4DB60F8B"/>
    <w:rsid w:val="4DBA7991"/>
    <w:rsid w:val="4DD26B1E"/>
    <w:rsid w:val="4DDE46CE"/>
    <w:rsid w:val="4DF94B22"/>
    <w:rsid w:val="4E1D3A41"/>
    <w:rsid w:val="4E5A1A99"/>
    <w:rsid w:val="4E781049"/>
    <w:rsid w:val="4E7B5851"/>
    <w:rsid w:val="4E9459CA"/>
    <w:rsid w:val="4EC11B55"/>
    <w:rsid w:val="4EC521F1"/>
    <w:rsid w:val="4EFB4CDF"/>
    <w:rsid w:val="4EFC3D07"/>
    <w:rsid w:val="4F0E2841"/>
    <w:rsid w:val="4F3C185C"/>
    <w:rsid w:val="4F404A3A"/>
    <w:rsid w:val="4F4240C4"/>
    <w:rsid w:val="4F566AAD"/>
    <w:rsid w:val="4F786330"/>
    <w:rsid w:val="4F880134"/>
    <w:rsid w:val="4F9D09E1"/>
    <w:rsid w:val="4FF21C3E"/>
    <w:rsid w:val="50113369"/>
    <w:rsid w:val="50125E3D"/>
    <w:rsid w:val="504870C6"/>
    <w:rsid w:val="5052092F"/>
    <w:rsid w:val="50865D61"/>
    <w:rsid w:val="509C7DFC"/>
    <w:rsid w:val="50CF3D2E"/>
    <w:rsid w:val="50E21CB3"/>
    <w:rsid w:val="50F0797A"/>
    <w:rsid w:val="512E2D95"/>
    <w:rsid w:val="51706E29"/>
    <w:rsid w:val="517A4017"/>
    <w:rsid w:val="51B6149B"/>
    <w:rsid w:val="51E07226"/>
    <w:rsid w:val="51ED73F6"/>
    <w:rsid w:val="52026B69"/>
    <w:rsid w:val="52142B51"/>
    <w:rsid w:val="52806159"/>
    <w:rsid w:val="52A443CF"/>
    <w:rsid w:val="52AD62F0"/>
    <w:rsid w:val="52B76669"/>
    <w:rsid w:val="52C84015"/>
    <w:rsid w:val="52F23092"/>
    <w:rsid w:val="532F6B09"/>
    <w:rsid w:val="533B302B"/>
    <w:rsid w:val="53984553"/>
    <w:rsid w:val="53EC6EBC"/>
    <w:rsid w:val="53F7535F"/>
    <w:rsid w:val="53F75E90"/>
    <w:rsid w:val="54236AC1"/>
    <w:rsid w:val="543300A5"/>
    <w:rsid w:val="54604C7D"/>
    <w:rsid w:val="549C38AD"/>
    <w:rsid w:val="54D14A1E"/>
    <w:rsid w:val="54E33BD1"/>
    <w:rsid w:val="54FC4780"/>
    <w:rsid w:val="54FC530D"/>
    <w:rsid w:val="554F6296"/>
    <w:rsid w:val="55671C2C"/>
    <w:rsid w:val="556C5FEF"/>
    <w:rsid w:val="55842A44"/>
    <w:rsid w:val="558F4B69"/>
    <w:rsid w:val="55935FAB"/>
    <w:rsid w:val="559F12E5"/>
    <w:rsid w:val="55A35789"/>
    <w:rsid w:val="55BA7584"/>
    <w:rsid w:val="55DA0F3B"/>
    <w:rsid w:val="55F663A1"/>
    <w:rsid w:val="55FC176E"/>
    <w:rsid w:val="561548D9"/>
    <w:rsid w:val="562148DD"/>
    <w:rsid w:val="56252926"/>
    <w:rsid w:val="56721153"/>
    <w:rsid w:val="567E13F4"/>
    <w:rsid w:val="56941BD9"/>
    <w:rsid w:val="56AF0889"/>
    <w:rsid w:val="56CF644F"/>
    <w:rsid w:val="56D025AE"/>
    <w:rsid w:val="56D44381"/>
    <w:rsid w:val="56D4592B"/>
    <w:rsid w:val="570B56FB"/>
    <w:rsid w:val="573C5DC2"/>
    <w:rsid w:val="57567FF5"/>
    <w:rsid w:val="575D20A6"/>
    <w:rsid w:val="57654D44"/>
    <w:rsid w:val="57C40582"/>
    <w:rsid w:val="57C540DC"/>
    <w:rsid w:val="581A61D6"/>
    <w:rsid w:val="5827ACDE"/>
    <w:rsid w:val="587F6530"/>
    <w:rsid w:val="58845F09"/>
    <w:rsid w:val="589C267E"/>
    <w:rsid w:val="58AB6E2E"/>
    <w:rsid w:val="58B67013"/>
    <w:rsid w:val="58BF28DA"/>
    <w:rsid w:val="58CB6686"/>
    <w:rsid w:val="58CB74D0"/>
    <w:rsid w:val="58CF0CC3"/>
    <w:rsid w:val="58D243DC"/>
    <w:rsid w:val="58F11969"/>
    <w:rsid w:val="58F21ACC"/>
    <w:rsid w:val="59262959"/>
    <w:rsid w:val="597F55E4"/>
    <w:rsid w:val="59995821"/>
    <w:rsid w:val="59AD702D"/>
    <w:rsid w:val="59B255C9"/>
    <w:rsid w:val="59E9430C"/>
    <w:rsid w:val="5A102C7D"/>
    <w:rsid w:val="5A6B69EA"/>
    <w:rsid w:val="5A946CE2"/>
    <w:rsid w:val="5ACA3526"/>
    <w:rsid w:val="5AEA791C"/>
    <w:rsid w:val="5B5C08B4"/>
    <w:rsid w:val="5B6D237F"/>
    <w:rsid w:val="5B6D6CED"/>
    <w:rsid w:val="5B7C3B4A"/>
    <w:rsid w:val="5BA14F77"/>
    <w:rsid w:val="5BB478E2"/>
    <w:rsid w:val="5BC50747"/>
    <w:rsid w:val="5BCD198A"/>
    <w:rsid w:val="5BD11637"/>
    <w:rsid w:val="5BEFFCCE"/>
    <w:rsid w:val="5C171A25"/>
    <w:rsid w:val="5C5E240A"/>
    <w:rsid w:val="5C74377D"/>
    <w:rsid w:val="5C7B1B8B"/>
    <w:rsid w:val="5CAE3391"/>
    <w:rsid w:val="5CFA24B6"/>
    <w:rsid w:val="5D02548B"/>
    <w:rsid w:val="5D154C0C"/>
    <w:rsid w:val="5D261179"/>
    <w:rsid w:val="5D4F249B"/>
    <w:rsid w:val="5D562CB2"/>
    <w:rsid w:val="5D660083"/>
    <w:rsid w:val="5D6E1FD6"/>
    <w:rsid w:val="5D81218A"/>
    <w:rsid w:val="5D8A6083"/>
    <w:rsid w:val="5D8D3370"/>
    <w:rsid w:val="5DAF67CF"/>
    <w:rsid w:val="5DB577BD"/>
    <w:rsid w:val="5DDB040C"/>
    <w:rsid w:val="5DE975A6"/>
    <w:rsid w:val="5DF7F8EC"/>
    <w:rsid w:val="5E015239"/>
    <w:rsid w:val="5E084BDD"/>
    <w:rsid w:val="5E176D14"/>
    <w:rsid w:val="5E222D7F"/>
    <w:rsid w:val="5E246282"/>
    <w:rsid w:val="5E255FDB"/>
    <w:rsid w:val="5E45203A"/>
    <w:rsid w:val="5E5D506F"/>
    <w:rsid w:val="5E613920"/>
    <w:rsid w:val="5E626E75"/>
    <w:rsid w:val="5E6F616D"/>
    <w:rsid w:val="5E747306"/>
    <w:rsid w:val="5E781EA8"/>
    <w:rsid w:val="5E9E32C7"/>
    <w:rsid w:val="5EB345D1"/>
    <w:rsid w:val="5EB74A92"/>
    <w:rsid w:val="5EC96260"/>
    <w:rsid w:val="5F0C2933"/>
    <w:rsid w:val="5F0D1104"/>
    <w:rsid w:val="5F1D035A"/>
    <w:rsid w:val="5F2D4A41"/>
    <w:rsid w:val="5F322057"/>
    <w:rsid w:val="5F3C6647"/>
    <w:rsid w:val="5F3F41F1"/>
    <w:rsid w:val="5F60697C"/>
    <w:rsid w:val="5F9932EF"/>
    <w:rsid w:val="5FA840C8"/>
    <w:rsid w:val="5FD924D3"/>
    <w:rsid w:val="5FDBF9D5"/>
    <w:rsid w:val="5FE61094"/>
    <w:rsid w:val="5FFC0182"/>
    <w:rsid w:val="5FFE4220"/>
    <w:rsid w:val="5FFF6A55"/>
    <w:rsid w:val="600734E4"/>
    <w:rsid w:val="600F1ACB"/>
    <w:rsid w:val="60161979"/>
    <w:rsid w:val="604F7B7F"/>
    <w:rsid w:val="60661CB4"/>
    <w:rsid w:val="606F4B42"/>
    <w:rsid w:val="60D038E2"/>
    <w:rsid w:val="60E5134B"/>
    <w:rsid w:val="60EA0295"/>
    <w:rsid w:val="60EB266E"/>
    <w:rsid w:val="615434A5"/>
    <w:rsid w:val="616F2082"/>
    <w:rsid w:val="61BF7310"/>
    <w:rsid w:val="61C064AA"/>
    <w:rsid w:val="61E7075E"/>
    <w:rsid w:val="620D33E1"/>
    <w:rsid w:val="62144EA4"/>
    <w:rsid w:val="6239687C"/>
    <w:rsid w:val="623B494B"/>
    <w:rsid w:val="62426434"/>
    <w:rsid w:val="629C798F"/>
    <w:rsid w:val="62B31880"/>
    <w:rsid w:val="62CC374F"/>
    <w:rsid w:val="62CD2E5F"/>
    <w:rsid w:val="62F900AC"/>
    <w:rsid w:val="633E0936"/>
    <w:rsid w:val="635D166D"/>
    <w:rsid w:val="636C25C9"/>
    <w:rsid w:val="638C4A5F"/>
    <w:rsid w:val="638F59E4"/>
    <w:rsid w:val="639B339A"/>
    <w:rsid w:val="63A23524"/>
    <w:rsid w:val="63A65AAA"/>
    <w:rsid w:val="63A86D8C"/>
    <w:rsid w:val="63BBF6B3"/>
    <w:rsid w:val="63FC0799"/>
    <w:rsid w:val="64112ABA"/>
    <w:rsid w:val="64304A89"/>
    <w:rsid w:val="6440730A"/>
    <w:rsid w:val="64435BF5"/>
    <w:rsid w:val="64B25D57"/>
    <w:rsid w:val="64B90B25"/>
    <w:rsid w:val="64CA2D32"/>
    <w:rsid w:val="64D52025"/>
    <w:rsid w:val="64E01E8E"/>
    <w:rsid w:val="64F44C02"/>
    <w:rsid w:val="65017E44"/>
    <w:rsid w:val="65223ACF"/>
    <w:rsid w:val="6533227E"/>
    <w:rsid w:val="65765F2C"/>
    <w:rsid w:val="657B1ED9"/>
    <w:rsid w:val="657D778E"/>
    <w:rsid w:val="658A3D6A"/>
    <w:rsid w:val="65A430AC"/>
    <w:rsid w:val="65AB5063"/>
    <w:rsid w:val="6608430D"/>
    <w:rsid w:val="660C5984"/>
    <w:rsid w:val="663F505A"/>
    <w:rsid w:val="66747DFB"/>
    <w:rsid w:val="667D7425"/>
    <w:rsid w:val="668448ED"/>
    <w:rsid w:val="668715B8"/>
    <w:rsid w:val="66AA1D13"/>
    <w:rsid w:val="66DF144C"/>
    <w:rsid w:val="66E13CC4"/>
    <w:rsid w:val="66E5487A"/>
    <w:rsid w:val="66EE1CBC"/>
    <w:rsid w:val="66F55788"/>
    <w:rsid w:val="673030DE"/>
    <w:rsid w:val="67367DE4"/>
    <w:rsid w:val="673E7602"/>
    <w:rsid w:val="6764089B"/>
    <w:rsid w:val="676E7876"/>
    <w:rsid w:val="67BF10EC"/>
    <w:rsid w:val="67BF27AF"/>
    <w:rsid w:val="67F5D678"/>
    <w:rsid w:val="680F7D89"/>
    <w:rsid w:val="681E22E0"/>
    <w:rsid w:val="68495676"/>
    <w:rsid w:val="688908DB"/>
    <w:rsid w:val="68B97345"/>
    <w:rsid w:val="68DF1006"/>
    <w:rsid w:val="690C1FB7"/>
    <w:rsid w:val="691E68CF"/>
    <w:rsid w:val="69D02432"/>
    <w:rsid w:val="69E63271"/>
    <w:rsid w:val="69F256DE"/>
    <w:rsid w:val="6A006624"/>
    <w:rsid w:val="6A0546FF"/>
    <w:rsid w:val="6A14588A"/>
    <w:rsid w:val="6A325E67"/>
    <w:rsid w:val="6A3D7B02"/>
    <w:rsid w:val="6A503CBF"/>
    <w:rsid w:val="6A534E51"/>
    <w:rsid w:val="6A8B38CC"/>
    <w:rsid w:val="6A8E0FBE"/>
    <w:rsid w:val="6A9B2F16"/>
    <w:rsid w:val="6A9B5027"/>
    <w:rsid w:val="6A9E6E7B"/>
    <w:rsid w:val="6AA40D85"/>
    <w:rsid w:val="6AA560DB"/>
    <w:rsid w:val="6AB52BA3"/>
    <w:rsid w:val="6ACE43D9"/>
    <w:rsid w:val="6B113469"/>
    <w:rsid w:val="6B2312D3"/>
    <w:rsid w:val="6B453112"/>
    <w:rsid w:val="6B4B624F"/>
    <w:rsid w:val="6B596466"/>
    <w:rsid w:val="6B5A1A48"/>
    <w:rsid w:val="6B5C045C"/>
    <w:rsid w:val="6B8F7255"/>
    <w:rsid w:val="6B903E85"/>
    <w:rsid w:val="6BD66471"/>
    <w:rsid w:val="6BE566A3"/>
    <w:rsid w:val="6BF92454"/>
    <w:rsid w:val="6C052E0C"/>
    <w:rsid w:val="6C5F1FB2"/>
    <w:rsid w:val="6C6121CE"/>
    <w:rsid w:val="6C6E4D50"/>
    <w:rsid w:val="6C7034F3"/>
    <w:rsid w:val="6C983716"/>
    <w:rsid w:val="6CAB497D"/>
    <w:rsid w:val="6CDB468E"/>
    <w:rsid w:val="6CDE55CC"/>
    <w:rsid w:val="6CE16C7D"/>
    <w:rsid w:val="6D090170"/>
    <w:rsid w:val="6D2D712A"/>
    <w:rsid w:val="6D303B03"/>
    <w:rsid w:val="6D6808F5"/>
    <w:rsid w:val="6D783D26"/>
    <w:rsid w:val="6D7D185F"/>
    <w:rsid w:val="6DA559EC"/>
    <w:rsid w:val="6DA97D78"/>
    <w:rsid w:val="6DAC1227"/>
    <w:rsid w:val="6DD07C38"/>
    <w:rsid w:val="6DF9CB9B"/>
    <w:rsid w:val="6E002E86"/>
    <w:rsid w:val="6E054B65"/>
    <w:rsid w:val="6E1465C2"/>
    <w:rsid w:val="6E1A0886"/>
    <w:rsid w:val="6E1D2124"/>
    <w:rsid w:val="6E1F6131"/>
    <w:rsid w:val="6E2D7665"/>
    <w:rsid w:val="6E3653DD"/>
    <w:rsid w:val="6E557E91"/>
    <w:rsid w:val="6E6E07AA"/>
    <w:rsid w:val="6E7B26A0"/>
    <w:rsid w:val="6E9C4850"/>
    <w:rsid w:val="6EB05025"/>
    <w:rsid w:val="6EC33D48"/>
    <w:rsid w:val="6EF94940"/>
    <w:rsid w:val="6F073BB6"/>
    <w:rsid w:val="6F133CBA"/>
    <w:rsid w:val="6F2415B0"/>
    <w:rsid w:val="6F2936EC"/>
    <w:rsid w:val="6F2B7EAB"/>
    <w:rsid w:val="6F364F80"/>
    <w:rsid w:val="6F5C47C2"/>
    <w:rsid w:val="6F5FB4D5"/>
    <w:rsid w:val="6F806BCC"/>
    <w:rsid w:val="6F913D15"/>
    <w:rsid w:val="6F9250EF"/>
    <w:rsid w:val="6F94661F"/>
    <w:rsid w:val="6FA845B8"/>
    <w:rsid w:val="6FBDEBE1"/>
    <w:rsid w:val="6FBF44F8"/>
    <w:rsid w:val="6FCA62DC"/>
    <w:rsid w:val="6FDC504A"/>
    <w:rsid w:val="6FE97BA5"/>
    <w:rsid w:val="6FED2530"/>
    <w:rsid w:val="6FF7D425"/>
    <w:rsid w:val="6FFB639C"/>
    <w:rsid w:val="6FFD9FC1"/>
    <w:rsid w:val="6FFF3BCA"/>
    <w:rsid w:val="7000707A"/>
    <w:rsid w:val="701E3717"/>
    <w:rsid w:val="70430726"/>
    <w:rsid w:val="7054787E"/>
    <w:rsid w:val="70551CB2"/>
    <w:rsid w:val="706B4EE1"/>
    <w:rsid w:val="70826C31"/>
    <w:rsid w:val="709060E2"/>
    <w:rsid w:val="70F3626F"/>
    <w:rsid w:val="70F85B7F"/>
    <w:rsid w:val="71155195"/>
    <w:rsid w:val="71381023"/>
    <w:rsid w:val="713D3D16"/>
    <w:rsid w:val="713E28A3"/>
    <w:rsid w:val="71584F26"/>
    <w:rsid w:val="71B769FB"/>
    <w:rsid w:val="71E56DE8"/>
    <w:rsid w:val="71E75522"/>
    <w:rsid w:val="71E857EE"/>
    <w:rsid w:val="72325ACB"/>
    <w:rsid w:val="723C2AE8"/>
    <w:rsid w:val="725400DF"/>
    <w:rsid w:val="72B34E05"/>
    <w:rsid w:val="72D00139"/>
    <w:rsid w:val="72FA6ED8"/>
    <w:rsid w:val="731D5BEB"/>
    <w:rsid w:val="7329331A"/>
    <w:rsid w:val="73756996"/>
    <w:rsid w:val="73A06A37"/>
    <w:rsid w:val="73C132E3"/>
    <w:rsid w:val="73E8508F"/>
    <w:rsid w:val="74034E50"/>
    <w:rsid w:val="741A7F0B"/>
    <w:rsid w:val="74361CD0"/>
    <w:rsid w:val="74424479"/>
    <w:rsid w:val="7475039B"/>
    <w:rsid w:val="747F1FAF"/>
    <w:rsid w:val="7499095B"/>
    <w:rsid w:val="74B53F65"/>
    <w:rsid w:val="74D4757B"/>
    <w:rsid w:val="74E0206B"/>
    <w:rsid w:val="74F34CCD"/>
    <w:rsid w:val="753B196C"/>
    <w:rsid w:val="753F0272"/>
    <w:rsid w:val="75514C5C"/>
    <w:rsid w:val="759D6F04"/>
    <w:rsid w:val="75F6612F"/>
    <w:rsid w:val="75F93477"/>
    <w:rsid w:val="76453E99"/>
    <w:rsid w:val="7653662C"/>
    <w:rsid w:val="76592B3A"/>
    <w:rsid w:val="76654669"/>
    <w:rsid w:val="766F0699"/>
    <w:rsid w:val="76956592"/>
    <w:rsid w:val="7696299F"/>
    <w:rsid w:val="76997790"/>
    <w:rsid w:val="76BFEF15"/>
    <w:rsid w:val="76C02F47"/>
    <w:rsid w:val="76CE3DD5"/>
    <w:rsid w:val="76D83E4C"/>
    <w:rsid w:val="76E06296"/>
    <w:rsid w:val="76F3173E"/>
    <w:rsid w:val="76F750BE"/>
    <w:rsid w:val="76FFAE51"/>
    <w:rsid w:val="771D7CC1"/>
    <w:rsid w:val="773C0FCD"/>
    <w:rsid w:val="77557D42"/>
    <w:rsid w:val="77731BA2"/>
    <w:rsid w:val="77911BDB"/>
    <w:rsid w:val="77996139"/>
    <w:rsid w:val="77A84CBF"/>
    <w:rsid w:val="77A95EF0"/>
    <w:rsid w:val="77BF07A6"/>
    <w:rsid w:val="77BF4DBA"/>
    <w:rsid w:val="77CA2A85"/>
    <w:rsid w:val="77CB3A12"/>
    <w:rsid w:val="77D91825"/>
    <w:rsid w:val="77E358F5"/>
    <w:rsid w:val="77F72A4B"/>
    <w:rsid w:val="77FBB7E2"/>
    <w:rsid w:val="77FF8BE8"/>
    <w:rsid w:val="77FF900C"/>
    <w:rsid w:val="78160D8E"/>
    <w:rsid w:val="781976DF"/>
    <w:rsid w:val="782027BA"/>
    <w:rsid w:val="783B524E"/>
    <w:rsid w:val="783B6F0B"/>
    <w:rsid w:val="78466E62"/>
    <w:rsid w:val="786F0E55"/>
    <w:rsid w:val="787A1B71"/>
    <w:rsid w:val="78900456"/>
    <w:rsid w:val="78952465"/>
    <w:rsid w:val="78A17BCA"/>
    <w:rsid w:val="78B06145"/>
    <w:rsid w:val="78C9D12E"/>
    <w:rsid w:val="78CA188F"/>
    <w:rsid w:val="78E522E1"/>
    <w:rsid w:val="78ED91BD"/>
    <w:rsid w:val="79270F41"/>
    <w:rsid w:val="7954379C"/>
    <w:rsid w:val="796B33C1"/>
    <w:rsid w:val="796C40C0"/>
    <w:rsid w:val="799556E1"/>
    <w:rsid w:val="799E45C2"/>
    <w:rsid w:val="799E5660"/>
    <w:rsid w:val="79A64AA4"/>
    <w:rsid w:val="79E26883"/>
    <w:rsid w:val="79F5B2CE"/>
    <w:rsid w:val="7A09118C"/>
    <w:rsid w:val="7A256073"/>
    <w:rsid w:val="7A4A4FAE"/>
    <w:rsid w:val="7A5E35F8"/>
    <w:rsid w:val="7A8F7099"/>
    <w:rsid w:val="7AB35528"/>
    <w:rsid w:val="7AB72D55"/>
    <w:rsid w:val="7AD92D76"/>
    <w:rsid w:val="7B22551C"/>
    <w:rsid w:val="7B272CE7"/>
    <w:rsid w:val="7B2A7B4E"/>
    <w:rsid w:val="7B3214D9"/>
    <w:rsid w:val="7B3D10BE"/>
    <w:rsid w:val="7B42141C"/>
    <w:rsid w:val="7B705C3B"/>
    <w:rsid w:val="7B95A5BC"/>
    <w:rsid w:val="7B9D26BC"/>
    <w:rsid w:val="7BB6373C"/>
    <w:rsid w:val="7BDC0473"/>
    <w:rsid w:val="7BDF2484"/>
    <w:rsid w:val="7BDF4798"/>
    <w:rsid w:val="7BE35F53"/>
    <w:rsid w:val="7BE6659D"/>
    <w:rsid w:val="7BED22DC"/>
    <w:rsid w:val="7BEFE676"/>
    <w:rsid w:val="7BF58326"/>
    <w:rsid w:val="7BF74FFF"/>
    <w:rsid w:val="7BFA3AA5"/>
    <w:rsid w:val="7BFF88B4"/>
    <w:rsid w:val="7C07453A"/>
    <w:rsid w:val="7C1624E4"/>
    <w:rsid w:val="7C423B0B"/>
    <w:rsid w:val="7C440773"/>
    <w:rsid w:val="7C9E35D4"/>
    <w:rsid w:val="7CA83501"/>
    <w:rsid w:val="7CC75C8D"/>
    <w:rsid w:val="7CD71937"/>
    <w:rsid w:val="7D260BDE"/>
    <w:rsid w:val="7D473DD3"/>
    <w:rsid w:val="7D542F8E"/>
    <w:rsid w:val="7D5457AA"/>
    <w:rsid w:val="7D6E474B"/>
    <w:rsid w:val="7D787377"/>
    <w:rsid w:val="7D8FD305"/>
    <w:rsid w:val="7DB7F383"/>
    <w:rsid w:val="7DBB09C3"/>
    <w:rsid w:val="7DD10836"/>
    <w:rsid w:val="7DE762AB"/>
    <w:rsid w:val="7DF64E2A"/>
    <w:rsid w:val="7E0D306C"/>
    <w:rsid w:val="7E1352F2"/>
    <w:rsid w:val="7E1B4572"/>
    <w:rsid w:val="7E1E3B76"/>
    <w:rsid w:val="7E1F14AC"/>
    <w:rsid w:val="7E3D731F"/>
    <w:rsid w:val="7E487708"/>
    <w:rsid w:val="7E585532"/>
    <w:rsid w:val="7E6924EF"/>
    <w:rsid w:val="7E6D055E"/>
    <w:rsid w:val="7E7B0429"/>
    <w:rsid w:val="7E7D52FA"/>
    <w:rsid w:val="7E886E0C"/>
    <w:rsid w:val="7EC700C0"/>
    <w:rsid w:val="7ED05708"/>
    <w:rsid w:val="7ED44A81"/>
    <w:rsid w:val="7EE10361"/>
    <w:rsid w:val="7EFF48F7"/>
    <w:rsid w:val="7F0E011F"/>
    <w:rsid w:val="7F3D7AB9"/>
    <w:rsid w:val="7F4FA7C5"/>
    <w:rsid w:val="7F6815A4"/>
    <w:rsid w:val="7F7FFFDE"/>
    <w:rsid w:val="7F8F065E"/>
    <w:rsid w:val="7FA7F038"/>
    <w:rsid w:val="7FB80376"/>
    <w:rsid w:val="7FBA3C77"/>
    <w:rsid w:val="7FBF5306"/>
    <w:rsid w:val="7FCD563A"/>
    <w:rsid w:val="7FDF6051"/>
    <w:rsid w:val="7FE87725"/>
    <w:rsid w:val="7FF35545"/>
    <w:rsid w:val="7FF6930D"/>
    <w:rsid w:val="7FF7B4E2"/>
    <w:rsid w:val="7FFE60E3"/>
    <w:rsid w:val="7FFF3D83"/>
    <w:rsid w:val="8BF70E63"/>
    <w:rsid w:val="91EF8486"/>
    <w:rsid w:val="9BFAD235"/>
    <w:rsid w:val="9EB0ED0F"/>
    <w:rsid w:val="9EFD0C70"/>
    <w:rsid w:val="9FF72D72"/>
    <w:rsid w:val="ABBD7A33"/>
    <w:rsid w:val="B6D6DC00"/>
    <w:rsid w:val="BA7D0171"/>
    <w:rsid w:val="BB197D0C"/>
    <w:rsid w:val="BDB28BEA"/>
    <w:rsid w:val="BEE7C376"/>
    <w:rsid w:val="BEEC549F"/>
    <w:rsid w:val="BF9F9D6E"/>
    <w:rsid w:val="BFF7BAA1"/>
    <w:rsid w:val="BFFDC237"/>
    <w:rsid w:val="C2DCFB16"/>
    <w:rsid w:val="CDF656BA"/>
    <w:rsid w:val="CED7F63E"/>
    <w:rsid w:val="CF17BD3C"/>
    <w:rsid w:val="D4EAC73A"/>
    <w:rsid w:val="D7D7D8E1"/>
    <w:rsid w:val="D7EBA4AE"/>
    <w:rsid w:val="DBE996C5"/>
    <w:rsid w:val="DBF6A504"/>
    <w:rsid w:val="DBF954C3"/>
    <w:rsid w:val="DF0304D3"/>
    <w:rsid w:val="DF3E3F38"/>
    <w:rsid w:val="DF7F9EDD"/>
    <w:rsid w:val="E2975CE5"/>
    <w:rsid w:val="E45F58C7"/>
    <w:rsid w:val="E7DB7C90"/>
    <w:rsid w:val="EDEE9BAA"/>
    <w:rsid w:val="EFCFB4D7"/>
    <w:rsid w:val="EFF748C1"/>
    <w:rsid w:val="F4B3682A"/>
    <w:rsid w:val="F4FB670C"/>
    <w:rsid w:val="F57EC306"/>
    <w:rsid w:val="F5D62558"/>
    <w:rsid w:val="F75CFBF8"/>
    <w:rsid w:val="F77BE2A1"/>
    <w:rsid w:val="F7BF3919"/>
    <w:rsid w:val="F7CF355A"/>
    <w:rsid w:val="F7FFD3E5"/>
    <w:rsid w:val="F9DFF17B"/>
    <w:rsid w:val="F9EFC21B"/>
    <w:rsid w:val="FAFEEBBC"/>
    <w:rsid w:val="FBDD0FE2"/>
    <w:rsid w:val="FBDFB0B6"/>
    <w:rsid w:val="FBED5567"/>
    <w:rsid w:val="FBF7C257"/>
    <w:rsid w:val="FBFF5BDC"/>
    <w:rsid w:val="FC7FB614"/>
    <w:rsid w:val="FD6FE4CE"/>
    <w:rsid w:val="FE1F6ADC"/>
    <w:rsid w:val="FECBB679"/>
    <w:rsid w:val="FEDB776A"/>
    <w:rsid w:val="FEDFEBD1"/>
    <w:rsid w:val="FEEA7FF1"/>
    <w:rsid w:val="FEFC156C"/>
    <w:rsid w:val="FF67D7CC"/>
    <w:rsid w:val="FF7E084C"/>
    <w:rsid w:val="FFB7C68B"/>
    <w:rsid w:val="FFCEEEF8"/>
    <w:rsid w:val="FFD6FD0D"/>
    <w:rsid w:val="FFE34538"/>
    <w:rsid w:val="FFE348D2"/>
    <w:rsid w:val="FFEAB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562" w:firstLineChars="200"/>
      <w:jc w:val="both"/>
    </w:pPr>
    <w:rPr>
      <w:rFonts w:ascii="Times New Roman" w:hAnsi="Times New Roman" w:eastAsia="仿宋" w:cs="Times New Roman"/>
      <w:kern w:val="2"/>
      <w:sz w:val="32"/>
      <w:szCs w:val="22"/>
      <w:lang w:val="en-US" w:eastAsia="zh-CN" w:bidi="ar-SA"/>
    </w:rPr>
  </w:style>
  <w:style w:type="paragraph" w:styleId="3">
    <w:name w:val="heading 1"/>
    <w:basedOn w:val="1"/>
    <w:next w:val="1"/>
    <w:qFormat/>
    <w:uiPriority w:val="0"/>
    <w:pPr>
      <w:spacing w:before="200" w:after="200" w:line="360" w:lineRule="auto"/>
      <w:ind w:firstLine="0" w:firstLineChars="0"/>
      <w:jc w:val="center"/>
      <w:outlineLvl w:val="0"/>
    </w:pPr>
    <w:rPr>
      <w:rFonts w:eastAsia="黑体"/>
      <w:b/>
      <w:sz w:val="32"/>
      <w:szCs w:val="36"/>
      <w:lang w:val="zh-CN"/>
    </w:rPr>
  </w:style>
  <w:style w:type="paragraph" w:styleId="4">
    <w:name w:val="heading 2"/>
    <w:basedOn w:val="1"/>
    <w:next w:val="1"/>
    <w:unhideWhenUsed/>
    <w:qFormat/>
    <w:uiPriority w:val="0"/>
    <w:pPr>
      <w:keepNext/>
      <w:keepLines/>
      <w:spacing w:before="340" w:beforeLines="0" w:beforeAutospacing="0" w:after="100" w:afterLines="0" w:afterAutospacing="0" w:line="360" w:lineRule="auto"/>
      <w:ind w:firstLine="0" w:firstLineChars="0"/>
      <w:jc w:val="center"/>
      <w:outlineLvl w:val="1"/>
    </w:pPr>
    <w:rPr>
      <w:rFonts w:eastAsia="楷体"/>
      <w:b/>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unhideWhenUsed/>
    <w:qFormat/>
    <w:uiPriority w:val="99"/>
    <w:pPr>
      <w:keepNext/>
      <w:keepLines/>
      <w:ind w:firstLine="0" w:firstLineChars="0"/>
      <w:jc w:val="center"/>
      <w:outlineLvl w:val="3"/>
    </w:pPr>
    <w:rPr>
      <w:rFonts w:eastAsia="幼圆" w:asciiTheme="majorHAnsi" w:hAnsiTheme="majorHAnsi" w:cstheme="majorBidi"/>
      <w:b/>
      <w:bCs/>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正文-文本"/>
    <w:qFormat/>
    <w:uiPriority w:val="0"/>
    <w:pPr>
      <w:spacing w:line="580" w:lineRule="exact"/>
      <w:ind w:firstLine="200" w:firstLineChars="200"/>
      <w:jc w:val="both"/>
    </w:pPr>
    <w:rPr>
      <w:rFonts w:ascii="Times New Roman" w:hAnsi="Times New Roman" w:eastAsia="仿宋_GB2312" w:cs="Times New Roman"/>
      <w:bCs/>
      <w:kern w:val="2"/>
      <w:sz w:val="32"/>
      <w:szCs w:val="32"/>
      <w:lang w:val="en-US" w:eastAsia="zh-CN" w:bidi="ar-SA"/>
    </w:rPr>
  </w:style>
  <w:style w:type="paragraph" w:styleId="7">
    <w:name w:val="Body Text"/>
    <w:basedOn w:val="1"/>
    <w:unhideWhenUsed/>
    <w:qFormat/>
    <w:uiPriority w:val="99"/>
    <w:pPr>
      <w:spacing w:after="12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296"/>
      </w:tabs>
      <w:ind w:firstLine="0" w:firstLineChars="0"/>
    </w:pPr>
    <w:rPr>
      <w:rFonts w:ascii="Times New Roman" w:hAnsi="Times New Roman"/>
      <w:b/>
      <w:sz w:val="32"/>
      <w:szCs w:val="28"/>
    </w:rPr>
  </w:style>
  <w:style w:type="paragraph" w:styleId="11">
    <w:name w:val="toc 2"/>
    <w:basedOn w:val="1"/>
    <w:next w:val="1"/>
    <w:unhideWhenUsed/>
    <w:qFormat/>
    <w:uiPriority w:val="39"/>
    <w:pPr>
      <w:tabs>
        <w:tab w:val="right" w:leader="dot" w:pos="8296"/>
      </w:tabs>
      <w:spacing w:line="240" w:lineRule="auto"/>
      <w:ind w:left="640" w:leftChars="200" w:firstLine="0" w:firstLineChars="0"/>
    </w:pPr>
    <w:rPr>
      <w:rFonts w:ascii="Times New Roman" w:hAnsi="Times New Roman"/>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7"/>
    <w:qFormat/>
    <w:uiPriority w:val="0"/>
    <w:pPr>
      <w:tabs>
        <w:tab w:val="left" w:pos="2020"/>
        <w:tab w:val="center" w:pos="4535"/>
      </w:tabs>
      <w:spacing w:after="120" w:afterLines="0" w:line="240" w:lineRule="auto"/>
      <w:ind w:firstLine="420" w:firstLineChars="100"/>
      <w:outlineLvl w:val="9"/>
    </w:pPr>
    <w:rPr>
      <w:rFonts w:ascii="Times New Roman" w:hAnsi="Times New Roman" w:eastAsia="宋体"/>
      <w:color w:val="auto"/>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Emphasis"/>
    <w:basedOn w:val="16"/>
    <w:qFormat/>
    <w:uiPriority w:val="0"/>
    <w:rPr>
      <w:i/>
    </w:rPr>
  </w:style>
  <w:style w:type="paragraph" w:styleId="19">
    <w:name w:val="List Paragraph"/>
    <w:basedOn w:val="1"/>
    <w:qFormat/>
    <w:uiPriority w:val="34"/>
    <w:pPr>
      <w:widowControl/>
      <w:spacing w:line="240" w:lineRule="auto"/>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75f8182f-20f2-44f8-84e5-dc5ac3bef43b</errorID>
      <errorWord>发展全面绿色转型</errorWord>
      <group>L1_Political</group>
      <groupName>政治性问题</groupName>
      <ability>L2_Keyword</ability>
      <abilityName>固定表述</abilityName>
      <candidateList>
        <item>发展方式绿色转型</item>
      </candidateList>
      <explain>词汇“发展方式绿色转型”在特定场景下为固定表述形式，请确认此处的“发展全面绿色转型”是否存在不当。</explain>
      <paraID>6F688A28</paraID>
      <start>45</start>
      <end>53</end>
      <status>unmodified</status>
      <modifiedWord/>
      <trackRevisions>false</trackRevisions>
    </reviewItem>
    <reviewItem>
      <errorID>3e7e56be-2dc3-4de5-ba0c-df50b48b3512</errorID>
      <errorWord>-</errorWord>
      <group>L1_Format</group>
      <groupName>格式问题</groupName>
      <ability>L2_HalfPunc_CN</ability>
      <abilityName>全半角问题</abilityName>
      <candidateList>
        <item>－</item>
      </candidateList>
      <explain>文本全半角错误。</explain>
      <paraID>42C838EC</paraID>
      <start>71</start>
      <end>72</end>
      <status>unmodified</status>
      <modifiedWord/>
      <trackRevisions>false</trackRevisions>
    </reviewItem>
    <reviewItem>
      <errorID>a3bb6e66-ba22-4f65-87b1-4e1cc18ff687</errorID>
      <errorWord>-</errorWord>
      <group>L1_Format</group>
      <groupName>格式问题</groupName>
      <ability>L2_HalfPunc_CN</ability>
      <abilityName>全半角问题</abilityName>
      <candidateList>
        <item>－</item>
      </candidateList>
      <explain>文本全半角错误。</explain>
      <paraID>42C838EC</paraID>
      <start>74</start>
      <end>75</end>
      <status>unmodified</status>
      <modifiedWord/>
      <trackRevisions>false</trackRevisions>
    </reviewItem>
    <reviewItem>
      <errorID>1008850a-f4a9-4d9e-a6ba-64fbd0ab13a4</errorID>
      <errorWord>农产品等区域公用品牌</errorWord>
      <group>L1_Political</group>
      <groupName>政治性问题</groupName>
      <ability>L2_Keyword</ability>
      <abilityName>固定表述</abilityName>
      <candidateList>
        <item>农产品区域公用品牌</item>
      </candidateList>
      <explain>词汇“农产品区域公用品牌”在特定场景下为固定表述形式，请确认此处的“农产品等区域公用品牌”是否存在不当。</explain>
      <paraID>52CF9067</paraID>
      <start>222</start>
      <end>232</end>
      <status>unmodified</status>
      <modifiedWord/>
      <trackRevisions>false</trackRevisions>
    </reviewItem>
    <reviewItem>
      <errorID>49b79329-fde8-4539-b9af-c22913cff99b</errorID>
      <errorWord>训</errorWord>
      <group>L1_Word</group>
      <groupName>字词问题</groupName>
      <ability>L2_Typo</ability>
      <abilityName>字词错误</abilityName>
      <candidateList>
        <item>驯</item>
      </candidateList>
      <explain/>
      <paraID>7F4833D9</paraID>
      <start>43</start>
      <end>44</end>
      <status>unmodified</status>
      <modifiedWord/>
      <trackRevisions>false</trackRevisions>
    </reviewItem>
    <reviewItem>
      <errorID>4bd2fff4-a4bb-44dd-a53a-6cbf14086849</errorID>
      <errorWord>党建引领夯实治理</errorWord>
      <group>L1_Political</group>
      <groupName>政治性问题</groupName>
      <ability>L2_Keyword</ability>
      <abilityName>固定表述</abilityName>
      <candidateList>
        <item>党建引领基层治理</item>
      </candidateList>
      <explain>词汇“党建引领基层治理”在特定场景下为固定表述形式，请确认此处的“党建引领夯实治理”是否存在不当。</explain>
      <paraID>349327C8</paraID>
      <start>0</start>
      <end>8</end>
      <status>unmodified</status>
      <modifiedWord/>
      <trackRevisions>false</trackRevisions>
    </reviewItem>
    <reviewItem>
      <errorID>75ee6f3c-5bc1-4c5d-ab63-0e2b14581262</errorID>
      <errorWord>三治融合</errorWord>
      <group>L1_Political</group>
      <groupName>政治性问题</groupName>
      <ability>L2_Keyword</ability>
      <abilityName>固定表述</abilityName>
      <candidateList>
        <item>“三治融合”</item>
      </candidateList>
      <explain>注意检查当前固定表述标点是否使用规范。</explain>
      <paraID>512898ED</paraID>
      <start>0</start>
      <end>4</end>
      <status>unmodified</status>
      <modifiedWord/>
      <trackRevisions>false</trackRevisions>
    </reviewItem>
    <reviewItem>
      <errorID>f7d9c3bf-d12f-40cf-b417-8f49a381ee95</errorID>
      <errorWord>完善集体产权制度</errorWord>
      <group>L1_Word</group>
      <groupName>字词问题</groupName>
      <ability>L2_Typo</ability>
      <abilityName>字词错误</abilityName>
      <candidateList>
        <item>完善农村集体产权制度</item>
      </candidateList>
      <explain/>
      <paraID>2E3947C8</paraID>
      <start>7</start>
      <end>15</end>
      <status>unmodified</status>
      <modifiedWord/>
      <trackRevisions>false</trackRevisions>
    </reviewItem>
    <reviewItem>
      <errorID>8c50b8d4-37eb-4d3d-ae2a-555ccb97f768</errorID>
      <errorWord>城乡建设用地增减挂钩指标</errorWord>
      <group>L1_Word</group>
      <groupName>字词问题</groupName>
      <ability>L2_Typo</ability>
      <abilityName>字词错误</abilityName>
      <candidateList>
        <item>城乡建设用地增减挂钩节余指标</item>
      </candidateList>
      <explain/>
      <paraID>2F25D2EE</paraID>
      <start>69</start>
      <end>81</end>
      <status>unmodified</status>
      <modifiedWord/>
      <trackRevisions>false</trackRevisions>
    </reviewItem>
    <reviewItem>
      <errorID>8fdc1e1c-c7b1-46f5-b4cd-e3af84b84e0d</errorID>
      <errorWord>训</errorWord>
      <group>L1_Word</group>
      <groupName>字词问题</groupName>
      <ability>L2_Typo</ability>
      <abilityName>字词错误</abilityName>
      <candidateList>
        <item>驯</item>
      </candidateList>
      <explain/>
      <paraID>6DC92840</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59c6b6-f48e-4fe4-afd9-1c820b98ae20}">
  <ds:schemaRefs/>
</ds:datastoreItem>
</file>

<file path=docProps/app.xml><?xml version="1.0" encoding="utf-8"?>
<Properties xmlns="http://schemas.openxmlformats.org/officeDocument/2006/extended-properties" xmlns:vt="http://schemas.openxmlformats.org/officeDocument/2006/docPropsVTypes">
  <Template>Normal.dotm</Template>
  <Pages>68</Pages>
  <Words>9575</Words>
  <Characters>9851</Characters>
  <Lines>0</Lines>
  <Paragraphs>0</Paragraphs>
  <TotalTime>503</TotalTime>
  <ScaleCrop>false</ScaleCrop>
  <LinksUpToDate>false</LinksUpToDate>
  <CharactersWithSpaces>9995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2025-07-31T17:29:00Z</dcterms:created>
  <dc:creator>kissue</dc:creator>
  <cp:lastModifiedBy>風無影</cp:lastModifiedBy>
  <dcterms:modified xsi:type="dcterms:W3CDTF">2026-09-29T02:10:10Z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FB5E756BDA504FF2A82CBBE518E497DE_13</vt:lpwstr>
  </property>
  <property fmtid="{D5CDD505-2E9C-101B-9397-08002B2CF9AE}" pid="4" name="KSOTemplateDocerSaveRecord">
    <vt:lpwstr>eyJoZGlkIjoiMDdhNDIzYTI3ZGVjZWU0MmRlMmZhZDFkZWMzMTQxYjYiLCJ1c2VySWQiOiI1MDQ5MjA3MjAifQ==</vt:lpwstr>
  </property>
</Properties>
</file>