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7AEB6">
      <w:pPr>
        <w:spacing w:line="600" w:lineRule="exact"/>
        <w:jc w:val="both"/>
        <w:rPr>
          <w:rFonts w:ascii="Times New Roman" w:hAnsi="Times New Roman" w:eastAsia="方正小标宋简体" w:cs="Times New Roman"/>
          <w:sz w:val="44"/>
          <w:szCs w:val="44"/>
          <w:highlight w:val="none"/>
        </w:rPr>
      </w:pPr>
    </w:p>
    <w:p w14:paraId="1ABA3ABE">
      <w:pPr>
        <w:spacing w:line="600" w:lineRule="exact"/>
        <w:jc w:val="center"/>
        <w:rPr>
          <w:rFonts w:ascii="Times New Roman" w:hAnsi="Times New Roman" w:eastAsia="方正小标宋简体" w:cs="Times New Roman"/>
          <w:sz w:val="44"/>
          <w:szCs w:val="44"/>
          <w:highlight w:val="none"/>
        </w:rPr>
      </w:pPr>
      <w:r>
        <w:rPr>
          <w:rFonts w:ascii="Times New Roman" w:hAnsi="Times New Roman" w:eastAsia="方正小标宋简体" w:cs="Times New Roman"/>
          <w:sz w:val="44"/>
          <w:szCs w:val="44"/>
          <w:highlight w:val="none"/>
        </w:rPr>
        <w:t>海陵区“十五五”新型工业化规划</w:t>
      </w:r>
    </w:p>
    <w:p w14:paraId="29165FC6">
      <w:pPr>
        <w:spacing w:line="600" w:lineRule="exact"/>
        <w:jc w:val="center"/>
        <w:rPr>
          <w:rFonts w:ascii="Times New Roman" w:hAnsi="Times New Roman" w:eastAsia="方正小标宋简体" w:cs="Times New Roman"/>
          <w:sz w:val="32"/>
          <w:szCs w:val="32"/>
          <w:highlight w:val="none"/>
        </w:rPr>
      </w:pPr>
      <w:bookmarkStart w:id="5" w:name="_GoBack"/>
      <w:bookmarkEnd w:id="5"/>
      <w:r>
        <w:rPr>
          <w:rFonts w:hint="eastAsia" w:ascii="Times New Roman" w:hAnsi="Times New Roman" w:eastAsia="方正小标宋简体" w:cs="Times New Roman"/>
          <w:sz w:val="44"/>
          <w:szCs w:val="44"/>
          <w:highlight w:val="none"/>
        </w:rPr>
        <w:t>（</w:t>
      </w:r>
      <w:r>
        <w:rPr>
          <w:rFonts w:hint="eastAsia" w:ascii="Times New Roman" w:hAnsi="Times New Roman" w:eastAsia="方正小标宋简体" w:cs="Times New Roman"/>
          <w:sz w:val="44"/>
          <w:szCs w:val="44"/>
          <w:highlight w:val="none"/>
          <w:lang w:val="en-US" w:eastAsia="zh-CN"/>
        </w:rPr>
        <w:t>征求意见稿</w:t>
      </w:r>
      <w:r>
        <w:rPr>
          <w:rFonts w:hint="eastAsia" w:ascii="Times New Roman" w:hAnsi="Times New Roman" w:eastAsia="方正小标宋简体" w:cs="Times New Roman"/>
          <w:sz w:val="44"/>
          <w:szCs w:val="44"/>
          <w:highlight w:val="none"/>
        </w:rPr>
        <w:t>）</w:t>
      </w:r>
    </w:p>
    <w:p w14:paraId="5A64F8E2">
      <w:pPr>
        <w:spacing w:line="600" w:lineRule="exact"/>
        <w:jc w:val="both"/>
        <w:rPr>
          <w:rFonts w:ascii="Times New Roman" w:hAnsi="Times New Roman" w:eastAsia="方正小标宋简体" w:cs="Times New Roman"/>
          <w:sz w:val="32"/>
          <w:szCs w:val="32"/>
          <w:highlight w:val="none"/>
        </w:rPr>
      </w:pPr>
    </w:p>
    <w:p w14:paraId="6EACDAA7">
      <w:pPr>
        <w:spacing w:line="600" w:lineRule="exact"/>
        <w:ind w:firstLine="640" w:firstLineChars="200"/>
        <w:jc w:val="both"/>
        <w:rPr>
          <w:rFonts w:ascii="Times New Roman" w:hAnsi="Times New Roman" w:eastAsia="方正仿宋_GBK" w:cs="Times New Roman"/>
          <w:sz w:val="32"/>
          <w:szCs w:val="32"/>
          <w:highlight w:val="none"/>
          <w:lang w:bidi="ar"/>
        </w:rPr>
      </w:pPr>
      <w:r>
        <w:rPr>
          <w:rFonts w:ascii="Times New Roman" w:hAnsi="Times New Roman" w:eastAsia="方正仿宋_GBK" w:cs="Times New Roman"/>
          <w:sz w:val="32"/>
          <w:szCs w:val="32"/>
          <w:highlight w:val="none"/>
          <w:lang w:val="zh-CN" w:bidi="ar"/>
        </w:rPr>
        <w:t>“十五五”时期是我国基本实现社会主义现代化夯实基础、全面发力的关键时期，是奋力推进中国式现代化</w:t>
      </w:r>
      <w:r>
        <w:rPr>
          <w:rFonts w:ascii="Times New Roman" w:hAnsi="Times New Roman" w:eastAsia="方正仿宋_GBK" w:cs="Times New Roman"/>
          <w:sz w:val="32"/>
          <w:szCs w:val="32"/>
          <w:highlight w:val="none"/>
          <w:lang w:bidi="ar"/>
        </w:rPr>
        <w:t>海陵</w:t>
      </w:r>
      <w:r>
        <w:rPr>
          <w:rFonts w:ascii="Times New Roman" w:hAnsi="Times New Roman" w:eastAsia="方正仿宋_GBK" w:cs="Times New Roman"/>
          <w:sz w:val="32"/>
          <w:szCs w:val="32"/>
          <w:highlight w:val="none"/>
          <w:lang w:val="zh-CN" w:bidi="ar"/>
        </w:rPr>
        <w:t>新实践取得决定性进展的关键时期，</w:t>
      </w:r>
      <w:r>
        <w:rPr>
          <w:rFonts w:ascii="Times New Roman" w:hAnsi="Times New Roman" w:eastAsia="方正仿宋_GBK" w:cs="Times New Roman"/>
          <w:sz w:val="32"/>
          <w:szCs w:val="32"/>
          <w:highlight w:val="none"/>
          <w:lang w:bidi="ar"/>
        </w:rPr>
        <w:t>为</w:t>
      </w:r>
      <w:r>
        <w:rPr>
          <w:rFonts w:ascii="Times New Roman" w:hAnsi="Times New Roman" w:eastAsia="方正仿宋_GBK" w:cs="Times New Roman"/>
          <w:color w:val="000000"/>
          <w:sz w:val="32"/>
          <w:szCs w:val="32"/>
          <w:highlight w:val="none"/>
        </w:rPr>
        <w:t>扛起使命担当，谱写主城荣光，推进中国式现代化海陵新实践，</w:t>
      </w:r>
      <w:r>
        <w:rPr>
          <w:rFonts w:ascii="Times New Roman" w:hAnsi="Times New Roman" w:eastAsia="方正仿宋_GBK" w:cs="Times New Roman"/>
          <w:sz w:val="32"/>
          <w:szCs w:val="32"/>
          <w:highlight w:val="none"/>
          <w:lang w:bidi="ar"/>
        </w:rPr>
        <w:t>根</w:t>
      </w:r>
      <w:r>
        <w:rPr>
          <w:rFonts w:ascii="Times New Roman" w:hAnsi="Times New Roman" w:eastAsia="方正仿宋_GBK" w:cs="Times New Roman"/>
          <w:sz w:val="32"/>
          <w:szCs w:val="32"/>
          <w:highlight w:val="none"/>
          <w:lang w:bidi="ar"/>
        </w:rPr>
        <w:t>据</w:t>
      </w:r>
      <w:r>
        <w:rPr>
          <w:rFonts w:ascii="Times New Roman" w:hAnsi="Times New Roman" w:eastAsia="方正仿宋_GBK" w:cs="Times New Roman"/>
          <w:sz w:val="32"/>
          <w:szCs w:val="32"/>
          <w:highlight w:val="none"/>
          <w:lang w:bidi="ar"/>
        </w:rPr>
        <w:t>《泰州市海陵区国民经济和社会发展第十五个五年规划纲要》《泰州市“十五五”新型工业化规划》</w:t>
      </w:r>
      <w:r>
        <w:rPr>
          <w:rFonts w:ascii="Times New Roman" w:hAnsi="Times New Roman" w:eastAsia="方正仿宋_GBK" w:cs="Times New Roman"/>
          <w:sz w:val="32"/>
          <w:szCs w:val="32"/>
          <w:highlight w:val="none"/>
          <w:lang w:bidi="ar"/>
        </w:rPr>
        <w:t>，</w:t>
      </w:r>
      <w:r>
        <w:rPr>
          <w:rFonts w:ascii="Times New Roman" w:hAnsi="Times New Roman" w:eastAsia="方正仿宋_GBK" w:cs="Times New Roman"/>
          <w:sz w:val="32"/>
          <w:szCs w:val="32"/>
          <w:highlight w:val="none"/>
          <w:lang w:bidi="ar"/>
        </w:rPr>
        <w:t>结合海陵区情实际，制定本规划。</w:t>
      </w:r>
    </w:p>
    <w:p w14:paraId="784D2FBA">
      <w:pPr>
        <w:spacing w:line="600" w:lineRule="exact"/>
        <w:ind w:firstLine="640" w:firstLineChars="200"/>
        <w:jc w:val="both"/>
        <w:rPr>
          <w:rFonts w:ascii="Times New Roman" w:hAnsi="Times New Roman" w:eastAsia="方正黑体_GBK" w:cs="Times New Roman"/>
          <w:sz w:val="32"/>
          <w:szCs w:val="32"/>
          <w:highlight w:val="none"/>
        </w:rPr>
      </w:pPr>
      <w:r>
        <w:rPr>
          <w:rFonts w:ascii="Times New Roman" w:hAnsi="Times New Roman" w:eastAsia="方正黑体_GBK" w:cs="Times New Roman"/>
          <w:sz w:val="32"/>
          <w:szCs w:val="32"/>
          <w:highlight w:val="none"/>
        </w:rPr>
        <w:t>一、发展现状</w:t>
      </w:r>
    </w:p>
    <w:p w14:paraId="442CE489">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“十四五”时期，海陵坚持“工业强区”战略，工业质效显著提升，产业结构持续优化，绿色创新不断深入，数实融合纵深推进，推动工业经济实现提档升级。</w:t>
      </w:r>
    </w:p>
    <w:p w14:paraId="09484041">
      <w:pPr>
        <w:spacing w:line="600" w:lineRule="exact"/>
        <w:ind w:firstLine="640" w:firstLineChars="200"/>
        <w:jc w:val="both"/>
        <w:rPr>
          <w:rFonts w:ascii="Times New Roman" w:hAnsi="Times New Roman" w:eastAsia="楷体_GB2312" w:cs="Times New Roman"/>
          <w:sz w:val="32"/>
          <w:szCs w:val="32"/>
          <w:highlight w:val="none"/>
        </w:rPr>
      </w:pPr>
      <w:r>
        <w:rPr>
          <w:rFonts w:ascii="Times New Roman" w:hAnsi="Times New Roman" w:eastAsia="楷体_GB2312" w:cs="Times New Roman"/>
          <w:sz w:val="32"/>
          <w:szCs w:val="32"/>
          <w:highlight w:val="none"/>
        </w:rPr>
        <w:t>（一）取得成效</w:t>
      </w:r>
    </w:p>
    <w:p w14:paraId="33D5A0FB">
      <w:pPr>
        <w:snapToGrid w:val="0"/>
        <w:spacing w:line="600" w:lineRule="exact"/>
        <w:ind w:firstLine="640" w:firstLineChars="200"/>
        <w:jc w:val="both"/>
        <w:rPr>
          <w:rFonts w:ascii="Times New Roman" w:hAnsi="Times New Roman" w:eastAsia="方正仿宋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1. </w:t>
      </w:r>
      <w:r>
        <w:rPr>
          <w:rFonts w:ascii="Times New Roman" w:hAnsi="Times New Roman" w:eastAsia="楷体_GB2312" w:cs="Times New Roman"/>
          <w:bCs/>
          <w:kern w:val="0"/>
          <w:sz w:val="32"/>
          <w:szCs w:val="32"/>
          <w:highlight w:val="none"/>
        </w:rPr>
        <w:t>工业经济稳中提质。</w:t>
      </w:r>
      <w:r>
        <w:rPr>
          <w:rFonts w:ascii="Times New Roman" w:hAnsi="Times New Roman" w:eastAsia="方正仿宋_GBK" w:cs="Times New Roman"/>
          <w:bCs/>
          <w:kern w:val="0"/>
          <w:sz w:val="32"/>
          <w:szCs w:val="32"/>
          <w:highlight w:val="none"/>
        </w:rPr>
        <w:t>2025年，海陵区实现规模以上工业增加值96.1亿元，同比增长3.4%；</w:t>
      </w:r>
      <w:r>
        <w:rPr>
          <w:rFonts w:ascii="Times New Roman" w:hAnsi="Times New Roman" w:eastAsia="方正仿宋_GBK" w:cs="Times New Roman"/>
          <w:bCs/>
          <w:kern w:val="0"/>
          <w:sz w:val="32"/>
          <w:szCs w:val="32"/>
          <w:highlight w:val="none"/>
        </w:rPr>
        <w:t>实现征收期工业一般纳税人开票销售649.3亿元</w:t>
      </w:r>
      <w:r>
        <w:rPr>
          <w:rFonts w:ascii="Times New Roman" w:hAnsi="Times New Roman" w:eastAsia="方正仿宋_GBK" w:cs="Times New Roman"/>
          <w:bCs/>
          <w:kern w:val="0"/>
          <w:sz w:val="32"/>
          <w:szCs w:val="32"/>
          <w:highlight w:val="none"/>
        </w:rPr>
        <w:t>，规上工业产值575.8亿元；</w:t>
      </w:r>
      <w:r>
        <w:rPr>
          <w:rFonts w:hint="eastAsia" w:ascii="Times New Roman" w:hAnsi="Times New Roman" w:eastAsia="方正仿宋_GBK" w:cs="Times New Roman"/>
          <w:bCs/>
          <w:kern w:val="0"/>
          <w:sz w:val="32"/>
          <w:szCs w:val="32"/>
          <w:highlight w:val="none"/>
        </w:rPr>
        <w:t>新增规上工业企业53家，</w:t>
      </w:r>
      <w:r>
        <w:rPr>
          <w:rFonts w:hint="eastAsia" w:ascii="Times New Roman" w:hAnsi="Times New Roman" w:eastAsia="方正仿宋_GBK" w:cs="Times New Roman"/>
          <w:bCs/>
          <w:kern w:val="0"/>
          <w:sz w:val="32"/>
          <w:szCs w:val="32"/>
          <w:highlight w:val="none"/>
        </w:rPr>
        <w:t>总数达</w:t>
      </w:r>
      <w:r>
        <w:rPr>
          <w:rFonts w:ascii="Times New Roman" w:hAnsi="Times New Roman" w:eastAsia="方正仿宋_GBK" w:cs="Times New Roman"/>
          <w:bCs/>
          <w:kern w:val="0"/>
          <w:sz w:val="32"/>
          <w:szCs w:val="32"/>
          <w:highlight w:val="none"/>
        </w:rPr>
        <w:t>339家</w:t>
      </w:r>
      <w:r>
        <w:rPr>
          <w:rFonts w:ascii="Times New Roman" w:hAnsi="Times New Roman" w:eastAsia="方正仿宋_GBK" w:cs="Times New Roman"/>
          <w:bCs/>
          <w:kern w:val="0"/>
          <w:sz w:val="32"/>
          <w:szCs w:val="32"/>
          <w:highlight w:val="none"/>
        </w:rPr>
        <w:t>，较“十三五”期末净增103家。</w:t>
      </w:r>
    </w:p>
    <w:p w14:paraId="258D8CD6">
      <w:pPr>
        <w:snapToGrid w:val="0"/>
        <w:spacing w:line="600" w:lineRule="exact"/>
        <w:ind w:firstLine="640" w:firstLineChars="200"/>
        <w:jc w:val="both"/>
        <w:rPr>
          <w:rFonts w:ascii="Times New Roman" w:hAnsi="Times New Roman" w:eastAsia="方正楷体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2. </w:t>
      </w:r>
      <w:r>
        <w:rPr>
          <w:rFonts w:ascii="Times New Roman" w:hAnsi="Times New Roman" w:eastAsia="楷体_GB2312" w:cs="Times New Roman"/>
          <w:bCs/>
          <w:kern w:val="0"/>
          <w:sz w:val="32"/>
          <w:szCs w:val="32"/>
          <w:highlight w:val="none"/>
        </w:rPr>
        <w:t>产业结构持续优化。</w:t>
      </w:r>
      <w:r>
        <w:rPr>
          <w:rFonts w:ascii="Times New Roman" w:hAnsi="Times New Roman" w:eastAsia="方正仿宋_GBK" w:cs="Times New Roman"/>
          <w:bCs/>
          <w:kern w:val="0"/>
          <w:sz w:val="32"/>
          <w:szCs w:val="32"/>
          <w:highlight w:val="none"/>
        </w:rPr>
        <w:t>“十四五”期间，海陵区关闭退出化工企业8家（累计关闭退出化工企业41家），完成主城区</w:t>
      </w:r>
      <w:r>
        <w:rPr>
          <w:rFonts w:ascii="Times New Roman" w:hAnsi="Times New Roman" w:eastAsia="方正仿宋_GBK" w:cs="Times New Roman"/>
          <w:bCs/>
          <w:kern w:val="0"/>
          <w:sz w:val="32"/>
          <w:szCs w:val="32"/>
          <w:highlight w:val="none"/>
        </w:rPr>
        <w:t>“去化”</w:t>
      </w:r>
      <w:r>
        <w:rPr>
          <w:rFonts w:ascii="Times New Roman" w:hAnsi="Times New Roman" w:eastAsia="方正仿宋_GBK" w:cs="Times New Roman"/>
          <w:bCs/>
          <w:kern w:val="0"/>
          <w:sz w:val="32"/>
          <w:szCs w:val="32"/>
          <w:highlight w:val="none"/>
        </w:rPr>
        <w:t>转型；截至2022年，海陵区42家</w:t>
      </w:r>
      <w:r>
        <w:rPr>
          <w:rFonts w:ascii="Times New Roman" w:hAnsi="Times New Roman" w:eastAsia="方正仿宋_GBK" w:cs="Times New Roman"/>
          <w:bCs/>
          <w:kern w:val="0"/>
          <w:sz w:val="32"/>
          <w:szCs w:val="32"/>
          <w:highlight w:val="none"/>
        </w:rPr>
        <w:t>造修船企业</w:t>
      </w:r>
      <w:r>
        <w:rPr>
          <w:rFonts w:ascii="Times New Roman" w:hAnsi="Times New Roman" w:eastAsia="方正仿宋_GBK" w:cs="Times New Roman"/>
          <w:bCs/>
          <w:kern w:val="0"/>
          <w:sz w:val="32"/>
          <w:szCs w:val="32"/>
          <w:highlight w:val="none"/>
        </w:rPr>
        <w:t>全部关停。</w:t>
      </w:r>
      <w:r>
        <w:rPr>
          <w:rFonts w:ascii="Times New Roman" w:hAnsi="Times New Roman" w:eastAsia="方正仿宋_GBK" w:cs="Times New Roman"/>
          <w:bCs/>
          <w:kern w:val="0"/>
          <w:sz w:val="32"/>
          <w:szCs w:val="32"/>
          <w:highlight w:val="none"/>
        </w:rPr>
        <w:t>对标全省“1650”产业体系，全力打造海陵区</w:t>
      </w:r>
      <w:r>
        <w:rPr>
          <w:rFonts w:ascii="Times New Roman" w:hAnsi="Times New Roman" w:eastAsia="方正仿宋_GBK" w:cs="Times New Roman"/>
          <w:bCs/>
          <w:kern w:val="0"/>
          <w:sz w:val="32"/>
          <w:szCs w:val="32"/>
          <w:highlight w:val="none"/>
        </w:rPr>
        <w:t>“新车智数”</w:t>
      </w:r>
      <w:r>
        <w:rPr>
          <w:rFonts w:ascii="Times New Roman" w:hAnsi="Times New Roman" w:eastAsia="方正仿宋_GBK" w:cs="Times New Roman"/>
          <w:bCs/>
          <w:kern w:val="0"/>
          <w:sz w:val="32"/>
          <w:szCs w:val="32"/>
          <w:highlight w:val="none"/>
        </w:rPr>
        <w:t>产业体系，“十四五”末，</w:t>
      </w:r>
      <w:r>
        <w:rPr>
          <w:rFonts w:ascii="Times New Roman" w:hAnsi="Times New Roman" w:eastAsia="方正仿宋_GBK" w:cs="Times New Roman"/>
          <w:bCs/>
          <w:kern w:val="0"/>
          <w:sz w:val="32"/>
          <w:szCs w:val="32"/>
          <w:highlight w:val="none"/>
        </w:rPr>
        <w:t>主导产业规模近500亿元</w:t>
      </w:r>
      <w:r>
        <w:rPr>
          <w:rFonts w:ascii="Times New Roman" w:hAnsi="Times New Roman" w:eastAsia="方正仿宋_GBK" w:cs="Times New Roman"/>
          <w:bCs/>
          <w:kern w:val="0"/>
          <w:sz w:val="32"/>
          <w:szCs w:val="32"/>
          <w:highlight w:val="none"/>
        </w:rPr>
        <w:t>。其中</w:t>
      </w:r>
      <w:r>
        <w:rPr>
          <w:rFonts w:ascii="Times New Roman" w:hAnsi="Times New Roman" w:eastAsia="方正仿宋_GBK" w:cs="Times New Roman"/>
          <w:bCs/>
          <w:kern w:val="0"/>
          <w:sz w:val="32"/>
          <w:szCs w:val="32"/>
          <w:highlight w:val="none"/>
        </w:rPr>
        <w:t>，以太阳能光伏与储能电池为新能源地标产业，“隔墙</w:t>
      </w:r>
      <w:r>
        <w:rPr>
          <w:rFonts w:hint="eastAsia" w:ascii="Times New Roman" w:hAnsi="Times New Roman" w:eastAsia="方正仿宋_GBK" w:cs="Times New Roman"/>
          <w:bCs/>
          <w:kern w:val="0"/>
          <w:sz w:val="32"/>
          <w:szCs w:val="32"/>
          <w:highlight w:val="none"/>
        </w:rPr>
        <w:t>供应”基本实现。</w:t>
      </w:r>
      <w:r>
        <w:rPr>
          <w:rFonts w:hint="eastAsia" w:ascii="Times New Roman" w:hAnsi="Times New Roman" w:eastAsia="黑体" w:cs="Times New Roman"/>
          <w:bCs/>
          <w:kern w:val="0"/>
          <w:sz w:val="32"/>
          <w:szCs w:val="32"/>
          <w:highlight w:val="none"/>
        </w:rPr>
        <w:t>海陵区</w:t>
      </w:r>
      <w:r>
        <w:rPr>
          <w:rFonts w:hint="eastAsia" w:ascii="Times New Roman" w:hAnsi="Times New Roman" w:eastAsia="黑体" w:cs="Times New Roman"/>
          <w:bCs/>
          <w:kern w:val="0"/>
          <w:sz w:val="32"/>
          <w:szCs w:val="32"/>
          <w:highlight w:val="none"/>
        </w:rPr>
        <w:t>晶硅光伏</w:t>
      </w:r>
      <w:r>
        <w:rPr>
          <w:rFonts w:hint="eastAsia" w:ascii="Times New Roman" w:hAnsi="Times New Roman" w:eastAsia="黑体" w:cs="Times New Roman"/>
          <w:bCs/>
          <w:kern w:val="0"/>
          <w:sz w:val="32"/>
          <w:szCs w:val="32"/>
          <w:highlight w:val="none"/>
        </w:rPr>
        <w:t>产业成为首批认定的“省级中小企业特色产业集群”</w:t>
      </w:r>
      <w:r>
        <w:rPr>
          <w:rFonts w:hint="eastAsia" w:ascii="Times New Roman" w:hAnsi="Times New Roman" w:eastAsia="方正仿宋_GBK" w:cs="Times New Roman"/>
          <w:bCs/>
          <w:kern w:val="0"/>
          <w:sz w:val="32"/>
          <w:szCs w:val="32"/>
          <w:highlight w:val="none"/>
        </w:rPr>
        <w:t>；</w:t>
      </w:r>
      <w:r>
        <w:rPr>
          <w:rFonts w:hint="eastAsia" w:ascii="Times New Roman" w:hAnsi="Times New Roman" w:eastAsia="方正仿宋_GBK" w:cs="Times New Roman"/>
          <w:bCs/>
          <w:kern w:val="0"/>
          <w:sz w:val="32"/>
          <w:szCs w:val="32"/>
          <w:highlight w:val="none"/>
        </w:rPr>
        <w:t>智能家居</w:t>
      </w:r>
      <w:r>
        <w:rPr>
          <w:rFonts w:hint="eastAsia" w:ascii="Times New Roman" w:hAnsi="Times New Roman" w:eastAsia="方正仿宋_GBK" w:cs="Times New Roman"/>
          <w:bCs/>
          <w:kern w:val="0"/>
          <w:sz w:val="32"/>
          <w:szCs w:val="32"/>
          <w:highlight w:val="none"/>
        </w:rPr>
        <w:t>产业创成省中</w:t>
      </w:r>
      <w:r>
        <w:rPr>
          <w:rFonts w:ascii="Times New Roman" w:hAnsi="Times New Roman" w:eastAsia="方正仿宋_GBK" w:cs="Times New Roman"/>
          <w:bCs/>
          <w:kern w:val="0"/>
          <w:sz w:val="32"/>
          <w:szCs w:val="32"/>
          <w:highlight w:val="none"/>
        </w:rPr>
        <w:t>小企业特色产业集群。</w:t>
      </w:r>
    </w:p>
    <w:p w14:paraId="4260A471">
      <w:pPr>
        <w:snapToGrid w:val="0"/>
        <w:spacing w:line="600" w:lineRule="exact"/>
        <w:ind w:firstLine="640" w:firstLineChars="200"/>
        <w:jc w:val="both"/>
        <w:rPr>
          <w:rFonts w:ascii="Times New Roman" w:hAnsi="Times New Roman" w:eastAsia="方正仿宋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3. </w:t>
      </w:r>
      <w:r>
        <w:rPr>
          <w:rFonts w:ascii="Times New Roman" w:hAnsi="Times New Roman" w:eastAsia="楷体_GB2312" w:cs="Times New Roman"/>
          <w:bCs/>
          <w:kern w:val="0"/>
          <w:sz w:val="32"/>
          <w:szCs w:val="32"/>
          <w:highlight w:val="none"/>
        </w:rPr>
        <w:t>企业培育量质齐升。</w:t>
      </w:r>
      <w:r>
        <w:rPr>
          <w:rFonts w:hint="eastAsia" w:ascii="Times New Roman" w:hAnsi="Times New Roman" w:eastAsia="方正仿宋_GBK" w:cs="Times New Roman"/>
          <w:bCs/>
          <w:kern w:val="0"/>
          <w:sz w:val="32"/>
          <w:szCs w:val="32"/>
          <w:highlight w:val="none"/>
        </w:rPr>
        <w:t>加快企业梯度培育，</w:t>
      </w:r>
      <w:r>
        <w:rPr>
          <w:rFonts w:hint="eastAsia" w:ascii="Times New Roman" w:hAnsi="Times New Roman" w:eastAsia="方正仿宋_GBK" w:cs="Times New Roman"/>
          <w:bCs/>
          <w:kern w:val="0"/>
          <w:sz w:val="32"/>
          <w:szCs w:val="32"/>
          <w:highlight w:val="none"/>
        </w:rPr>
        <w:t>新增</w:t>
      </w:r>
      <w:r>
        <w:rPr>
          <w:rFonts w:hint="eastAsia" w:ascii="Times New Roman" w:hAnsi="Times New Roman" w:eastAsia="方正仿宋_GBK" w:cs="Times New Roman"/>
          <w:bCs/>
          <w:kern w:val="0"/>
          <w:sz w:val="32"/>
          <w:szCs w:val="32"/>
          <w:highlight w:val="none"/>
        </w:rPr>
        <w:t>百亿级</w:t>
      </w:r>
      <w:r>
        <w:rPr>
          <w:rFonts w:hint="eastAsia" w:ascii="Times New Roman" w:hAnsi="Times New Roman" w:eastAsia="方正仿宋_GBK" w:cs="Times New Roman"/>
          <w:bCs/>
          <w:kern w:val="0"/>
          <w:sz w:val="32"/>
          <w:szCs w:val="32"/>
          <w:highlight w:val="none"/>
        </w:rPr>
        <w:t>企业</w:t>
      </w:r>
      <w:r>
        <w:rPr>
          <w:rFonts w:hint="eastAsia" w:ascii="Times New Roman" w:hAnsi="Times New Roman" w:eastAsia="方正仿宋_GBK" w:cs="Times New Roman"/>
          <w:bCs/>
          <w:kern w:val="0"/>
          <w:sz w:val="32"/>
          <w:szCs w:val="32"/>
          <w:highlight w:val="none"/>
        </w:rPr>
        <w:t>2家（乐金电子、江苏隆基）</w:t>
      </w:r>
      <w:r>
        <w:rPr>
          <w:rFonts w:hint="eastAsia" w:ascii="Times New Roman" w:hAnsi="Times New Roman" w:eastAsia="方正仿宋_GBK" w:cs="Times New Roman"/>
          <w:bCs/>
          <w:kern w:val="0"/>
          <w:sz w:val="32"/>
          <w:szCs w:val="32"/>
          <w:highlight w:val="none"/>
        </w:rPr>
        <w:t>，50亿级企业2家（一道新能源、泰州隆基组件厂），20亿级企业2家（海优威、海阳科技），</w:t>
      </w:r>
      <w:r>
        <w:rPr>
          <w:rFonts w:hint="eastAsia" w:ascii="Times New Roman" w:hAnsi="Times New Roman" w:eastAsia="黑体" w:cs="Times New Roman"/>
          <w:bCs/>
          <w:kern w:val="0"/>
          <w:sz w:val="32"/>
          <w:szCs w:val="32"/>
          <w:highlight w:val="none"/>
        </w:rPr>
        <w:t>全省首家北京外迁央企二级总部——福马集团落户海陵</w:t>
      </w:r>
      <w:r>
        <w:rPr>
          <w:rFonts w:hint="eastAsia" w:ascii="Times New Roman" w:hAnsi="Times New Roman" w:eastAsia="方正仿宋_GBK" w:cs="Times New Roman"/>
          <w:bCs/>
          <w:kern w:val="0"/>
          <w:sz w:val="32"/>
          <w:szCs w:val="32"/>
          <w:highlight w:val="none"/>
        </w:rPr>
        <w:t>。聚焦主业、创新能力强、成长性好的中小企业，积极构建从创新型中小企业到制造业单项冠军的梯度培育体系，引导中小企业走“专精特新”发展道路，“十四五”末省级以上专精特新企业达91家、增长15倍。</w:t>
      </w:r>
      <w:r>
        <w:rPr>
          <w:rFonts w:hint="eastAsia" w:ascii="Times New Roman" w:hAnsi="Times New Roman" w:eastAsia="黑体" w:cs="Times New Roman"/>
          <w:bCs/>
          <w:kern w:val="0"/>
          <w:sz w:val="32"/>
          <w:szCs w:val="32"/>
          <w:highlight w:val="none"/>
        </w:rPr>
        <w:t>罡阳股份获评江苏省优秀企业，海阳科技成为新“国九</w:t>
      </w:r>
      <w:r>
        <w:rPr>
          <w:rFonts w:hint="eastAsia" w:ascii="Times New Roman" w:hAnsi="Times New Roman" w:eastAsia="黑体" w:cs="Times New Roman"/>
          <w:bCs/>
          <w:kern w:val="0"/>
          <w:sz w:val="32"/>
          <w:szCs w:val="32"/>
          <w:highlight w:val="none"/>
        </w:rPr>
        <w:t>条”以来江苏首家“当年过会、当年上市”的A股主板上市公司。</w:t>
      </w:r>
      <w:bookmarkStart w:id="0" w:name="_Hlk230938968"/>
      <w:r>
        <w:rPr>
          <w:rFonts w:hint="eastAsia" w:ascii="Times New Roman" w:hAnsi="Times New Roman" w:eastAsia="方正仿宋_GBK" w:cs="Times New Roman"/>
          <w:bCs/>
          <w:kern w:val="0"/>
          <w:sz w:val="32"/>
          <w:szCs w:val="32"/>
          <w:highlight w:val="none"/>
        </w:rPr>
        <w:t>强化企业创新主体地位，</w:t>
      </w:r>
      <w:bookmarkEnd w:id="0"/>
      <w:r>
        <w:rPr>
          <w:rFonts w:hint="eastAsia" w:ascii="Times New Roman" w:hAnsi="Times New Roman" w:eastAsia="方正仿宋_GBK" w:cs="Times New Roman"/>
          <w:bCs/>
          <w:kern w:val="0"/>
          <w:sz w:val="32"/>
          <w:szCs w:val="32"/>
          <w:highlight w:val="none"/>
        </w:rPr>
        <w:t>累计培育了省级</w:t>
      </w:r>
      <w:r>
        <w:rPr>
          <w:rFonts w:ascii="Times New Roman" w:hAnsi="Times New Roman" w:eastAsia="方正仿宋_GBK" w:cs="Times New Roman"/>
          <w:bCs/>
          <w:kern w:val="0"/>
          <w:sz w:val="32"/>
          <w:szCs w:val="32"/>
          <w:highlight w:val="none"/>
        </w:rPr>
        <w:t>企业技术中心9家，市级企业技术中心23家，认定省级首台（套）重大装备2家、省级首版次软件3家、省级首批次新材料认定1家，列入省级新技术新产品应用推广目录80个。</w:t>
      </w:r>
    </w:p>
    <w:p w14:paraId="10914D75">
      <w:pPr>
        <w:snapToGrid w:val="0"/>
        <w:spacing w:line="600" w:lineRule="exact"/>
        <w:ind w:firstLine="640" w:firstLineChars="200"/>
        <w:jc w:val="both"/>
        <w:rPr>
          <w:rFonts w:ascii="Times New Roman" w:hAnsi="Times New Roman" w:eastAsia="方正楷体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4. </w:t>
      </w:r>
      <w:r>
        <w:rPr>
          <w:rFonts w:ascii="Times New Roman" w:hAnsi="Times New Roman" w:eastAsia="楷体_GB2312" w:cs="Times New Roman"/>
          <w:bCs/>
          <w:kern w:val="0"/>
          <w:sz w:val="32"/>
          <w:szCs w:val="32"/>
          <w:highlight w:val="none"/>
        </w:rPr>
        <w:t>“智改数转网联”纵深推进。</w:t>
      </w:r>
      <w:r>
        <w:rPr>
          <w:rFonts w:ascii="Times New Roman" w:hAnsi="Times New Roman" w:eastAsia="方正仿宋_GBK" w:cs="Times New Roman"/>
          <w:bCs/>
          <w:kern w:val="0"/>
          <w:sz w:val="32"/>
          <w:szCs w:val="32"/>
          <w:highlight w:val="none"/>
        </w:rPr>
        <w:t>“十四五”期间，海陵区以推动产业数字化纵深发展为核心目标，鼓励行业龙头企业强化示范引领。</w:t>
      </w:r>
      <w:r>
        <w:rPr>
          <w:rFonts w:ascii="Times New Roman" w:hAnsi="Times New Roman" w:eastAsia="黑体" w:cs="Times New Roman"/>
          <w:bCs/>
          <w:kern w:val="0"/>
          <w:sz w:val="32"/>
          <w:szCs w:val="32"/>
          <w:highlight w:val="none"/>
        </w:rPr>
        <w:t>江苏隆基以生产环节智能化为突破口，其打造的“智能在线检测”获评国家级智能制造优秀场景，并创成全市首家国家智能制造示范工厂</w:t>
      </w:r>
      <w:r>
        <w:rPr>
          <w:rFonts w:ascii="Times New Roman" w:hAnsi="Times New Roman" w:eastAsia="方正仿宋_GBK" w:cs="Times New Roman"/>
          <w:bCs/>
          <w:kern w:val="0"/>
          <w:sz w:val="32"/>
          <w:szCs w:val="32"/>
          <w:highlight w:val="none"/>
        </w:rPr>
        <w:t>；金桥焊材则聚焦数字技术与传统制造的深度融合，构建“5G+工业互联网”应用体系，入选国家5G工厂名录。海陵区已累计创成省智能制造示范工厂（车间）22个、省先进级智能工厂14个、省重点工业互联网平台1个、省领军服务商1个，省星级上云评定企业167家。</w:t>
      </w:r>
    </w:p>
    <w:p w14:paraId="31554324">
      <w:pPr>
        <w:snapToGrid w:val="0"/>
        <w:spacing w:line="600" w:lineRule="exact"/>
        <w:ind w:firstLine="640" w:firstLineChars="200"/>
        <w:jc w:val="both"/>
        <w:rPr>
          <w:rFonts w:ascii="Times New Roman" w:hAnsi="Times New Roman" w:eastAsia="方正仿宋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5. </w:t>
      </w:r>
      <w:r>
        <w:rPr>
          <w:rFonts w:ascii="Times New Roman" w:hAnsi="Times New Roman" w:eastAsia="楷体_GB2312" w:cs="Times New Roman"/>
          <w:bCs/>
          <w:kern w:val="0"/>
          <w:sz w:val="32"/>
          <w:szCs w:val="32"/>
          <w:highlight w:val="none"/>
        </w:rPr>
        <w:t>绿色创建发展增效。</w:t>
      </w:r>
      <w:r>
        <w:rPr>
          <w:rFonts w:ascii="Times New Roman" w:hAnsi="Times New Roman" w:eastAsia="方正仿宋_GBK" w:cs="Times New Roman"/>
          <w:bCs/>
          <w:kern w:val="0"/>
          <w:sz w:val="32"/>
          <w:szCs w:val="32"/>
          <w:highlight w:val="none"/>
        </w:rPr>
        <w:t>认真落实国家“双碳”战略，推动规上工业企业能耗强度持续下降，鼓励企业实施节能技术改造，提高工业绿色制造水平，能耗强度完成“十四五”市下能耗强度下降进度目标。推动绿色制造体系建设，</w:t>
      </w:r>
      <w:bookmarkStart w:id="1" w:name="_Hlk230938900"/>
      <w:r>
        <w:rPr>
          <w:rFonts w:ascii="Times New Roman" w:hAnsi="Times New Roman" w:eastAsia="黑体" w:cs="Times New Roman"/>
          <w:bCs/>
          <w:kern w:val="0"/>
          <w:sz w:val="32"/>
          <w:szCs w:val="32"/>
          <w:highlight w:val="none"/>
        </w:rPr>
        <w:t>累计创成国家级绿色供应链管理企业1家，国家级绿色工业园区1个，国家级绿色工厂2家，省级绿色工厂18家，均实现海陵区零突破</w:t>
      </w:r>
      <w:bookmarkEnd w:id="1"/>
      <w:r>
        <w:rPr>
          <w:rFonts w:ascii="Times New Roman" w:hAnsi="Times New Roman" w:eastAsia="黑体" w:cs="Times New Roman"/>
          <w:bCs/>
          <w:kern w:val="0"/>
          <w:sz w:val="32"/>
          <w:szCs w:val="32"/>
          <w:highlight w:val="none"/>
        </w:rPr>
        <w:t>。</w:t>
      </w:r>
    </w:p>
    <w:p w14:paraId="2EFD9A6A">
      <w:pPr>
        <w:snapToGrid w:val="0"/>
        <w:spacing w:line="600" w:lineRule="exact"/>
        <w:ind w:firstLine="640" w:firstLineChars="200"/>
        <w:jc w:val="both"/>
        <w:rPr>
          <w:rFonts w:ascii="Times New Roman" w:hAnsi="Times New Roman" w:eastAsia="方正仿宋_GBK" w:cs="Times New Roman"/>
          <w:bCs/>
          <w:kern w:val="0"/>
          <w:sz w:val="32"/>
          <w:szCs w:val="32"/>
          <w:highlight w:val="none"/>
        </w:rPr>
      </w:pPr>
      <w:r>
        <w:rPr>
          <w:rFonts w:ascii="Times New Roman" w:hAnsi="Times New Roman" w:eastAsia="方正仿宋_GBK" w:cs="Times New Roman"/>
          <w:bCs/>
          <w:kern w:val="0"/>
          <w:sz w:val="32"/>
          <w:szCs w:val="32"/>
          <w:highlight w:val="none"/>
        </w:rPr>
        <w:t>6</w:t>
      </w:r>
      <w:r>
        <w:rPr>
          <w:rFonts w:ascii="Times New Roman" w:hAnsi="Times New Roman" w:eastAsia="方正楷体_GBK" w:cs="Times New Roman"/>
          <w:bCs/>
          <w:kern w:val="0"/>
          <w:sz w:val="32"/>
          <w:szCs w:val="32"/>
          <w:highlight w:val="none"/>
        </w:rPr>
        <w:t xml:space="preserve">. </w:t>
      </w:r>
      <w:r>
        <w:rPr>
          <w:rFonts w:ascii="Times New Roman" w:hAnsi="Times New Roman" w:eastAsia="楷体_GB2312" w:cs="Times New Roman"/>
          <w:bCs/>
          <w:kern w:val="0"/>
          <w:sz w:val="32"/>
          <w:szCs w:val="32"/>
          <w:highlight w:val="none"/>
        </w:rPr>
        <w:t>亩均改革成效显著。</w:t>
      </w:r>
      <w:r>
        <w:rPr>
          <w:rFonts w:ascii="Times New Roman" w:hAnsi="Times New Roman" w:eastAsia="方正仿宋_GBK" w:cs="Times New Roman"/>
          <w:bCs/>
          <w:kern w:val="0"/>
          <w:sz w:val="32"/>
          <w:szCs w:val="32"/>
          <w:highlight w:val="none"/>
        </w:rPr>
        <w:t>在全市率先推行“亩均论英雄”改革，建立分类评价、要素配置、低效盘活等工作机制，倒逼企业淘汰出清低效落后产能，加快转型升级。</w:t>
      </w:r>
      <w:r>
        <w:rPr>
          <w:rFonts w:hint="eastAsia" w:ascii="Times New Roman" w:hAnsi="Times New Roman" w:eastAsia="方正仿宋_GBK" w:cs="Times New Roman"/>
          <w:bCs/>
          <w:kern w:val="0"/>
          <w:sz w:val="32"/>
          <w:szCs w:val="32"/>
          <w:highlight w:val="none"/>
        </w:rPr>
        <w:t>原林海集团北厂区</w:t>
      </w:r>
      <w:r>
        <w:rPr>
          <w:rFonts w:hint="eastAsia" w:ascii="Times New Roman" w:hAnsi="Times New Roman" w:eastAsia="方正仿宋_GBK" w:cs="Times New Roman"/>
          <w:bCs/>
          <w:kern w:val="0"/>
          <w:sz w:val="32"/>
          <w:szCs w:val="32"/>
          <w:highlight w:val="none"/>
          <w:lang w:val="en-US" w:eastAsia="zh-CN"/>
        </w:rPr>
        <w:t>打造</w:t>
      </w:r>
      <w:r>
        <w:rPr>
          <w:rFonts w:hint="eastAsia" w:ascii="Times New Roman" w:hAnsi="Times New Roman" w:eastAsia="方正仿宋_GBK" w:cs="Times New Roman"/>
          <w:bCs/>
          <w:kern w:val="0"/>
          <w:sz w:val="32"/>
          <w:szCs w:val="32"/>
          <w:highlight w:val="none"/>
        </w:rPr>
        <w:t>瑞力·泰渡双创街区</w:t>
      </w:r>
      <w:r>
        <w:rPr>
          <w:rFonts w:ascii="Times New Roman" w:hAnsi="Times New Roman" w:eastAsia="方正仿宋_GBK" w:cs="Times New Roman"/>
          <w:bCs/>
          <w:kern w:val="0"/>
          <w:sz w:val="32"/>
          <w:szCs w:val="32"/>
          <w:highlight w:val="none"/>
        </w:rPr>
        <w:t>，</w:t>
      </w:r>
      <w:r>
        <w:rPr>
          <w:rFonts w:ascii="Times New Roman" w:hAnsi="Times New Roman" w:eastAsia="方正仿宋_GBK" w:cs="Times New Roman"/>
          <w:bCs/>
          <w:kern w:val="0"/>
          <w:sz w:val="32"/>
          <w:szCs w:val="32"/>
          <w:highlight w:val="none"/>
        </w:rPr>
        <w:t>华荣麦芽、康乾机械、中科科化等一批“二期、三期”项目不断涌现。“十四五”期间累计盘活提升低效闲置工业用地5645亩。</w:t>
      </w:r>
    </w:p>
    <w:p w14:paraId="5219A248">
      <w:pPr>
        <w:snapToGrid w:val="0"/>
        <w:spacing w:line="600" w:lineRule="exact"/>
        <w:ind w:firstLine="640" w:firstLineChars="200"/>
        <w:jc w:val="both"/>
        <w:rPr>
          <w:rFonts w:ascii="Times New Roman" w:hAnsi="Times New Roman" w:eastAsia="方正仿宋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7. </w:t>
      </w:r>
      <w:r>
        <w:rPr>
          <w:rFonts w:ascii="Times New Roman" w:hAnsi="Times New Roman" w:eastAsia="楷体_GB2312" w:cs="Times New Roman"/>
          <w:bCs/>
          <w:kern w:val="0"/>
          <w:sz w:val="32"/>
          <w:szCs w:val="32"/>
          <w:highlight w:val="none"/>
        </w:rPr>
        <w:t>助企服务精准赋能。</w:t>
      </w:r>
      <w:bookmarkStart w:id="2" w:name="_Hlk230939052"/>
      <w:r>
        <w:rPr>
          <w:rFonts w:ascii="Times New Roman" w:hAnsi="Times New Roman" w:eastAsia="方正仿宋_GBK" w:cs="Times New Roman"/>
          <w:bCs/>
          <w:kern w:val="0"/>
          <w:sz w:val="32"/>
          <w:szCs w:val="32"/>
          <w:highlight w:val="none"/>
        </w:rPr>
        <w:t>围绕区领导“大抓经济、大抓产业、大抓项目”挂钩工作推进机制，</w:t>
      </w:r>
      <w:bookmarkEnd w:id="2"/>
      <w:bookmarkStart w:id="3" w:name="_Hlk230939035"/>
      <w:r>
        <w:rPr>
          <w:rFonts w:ascii="Times New Roman" w:hAnsi="Times New Roman" w:eastAsia="方正仿宋_GBK" w:cs="Times New Roman"/>
          <w:bCs/>
          <w:kern w:val="0"/>
          <w:sz w:val="32"/>
          <w:szCs w:val="32"/>
          <w:highlight w:val="none"/>
        </w:rPr>
        <w:t>持续开展“助企强链 提质增效”走访服务活动，实现规上工业企业全覆盖，切实帮助企业解决困难，为中小微企业打通进阶式成长“快车道”。用足、用活、用好各项扶持奖励政策，组织飞船股份、海阳科技成功上争国家超长期特别国债资金支持工业重点领域设备更新改造项目2000余万元；上争省市区各级奖补资金</w:t>
      </w:r>
      <w:r>
        <w:rPr>
          <w:rFonts w:ascii="Times New Roman" w:hAnsi="Times New Roman" w:eastAsia="方正仿宋_GBK" w:cs="Times New Roman"/>
          <w:bCs/>
          <w:color w:val="auto"/>
          <w:kern w:val="0"/>
          <w:sz w:val="32"/>
          <w:szCs w:val="32"/>
          <w:highlight w:val="none"/>
        </w:rPr>
        <w:t>1.88亿余元</w:t>
      </w:r>
      <w:r>
        <w:rPr>
          <w:rFonts w:ascii="Times New Roman" w:hAnsi="Times New Roman" w:eastAsia="方正仿宋_GBK" w:cs="Times New Roman"/>
          <w:bCs/>
          <w:kern w:val="0"/>
          <w:sz w:val="32"/>
          <w:szCs w:val="32"/>
          <w:highlight w:val="none"/>
        </w:rPr>
        <w:t>，企业发展信心持续提振，深耕主业、扩产提质的底气更足</w:t>
      </w:r>
      <w:bookmarkEnd w:id="3"/>
      <w:r>
        <w:rPr>
          <w:rFonts w:ascii="Times New Roman" w:hAnsi="Times New Roman" w:eastAsia="方正仿宋_GBK" w:cs="Times New Roman"/>
          <w:bCs/>
          <w:kern w:val="0"/>
          <w:sz w:val="32"/>
          <w:szCs w:val="32"/>
          <w:highlight w:val="none"/>
        </w:rPr>
        <w:t>。</w:t>
      </w:r>
    </w:p>
    <w:p w14:paraId="3C7392D3">
      <w:pPr>
        <w:spacing w:line="600" w:lineRule="exact"/>
        <w:ind w:firstLine="640" w:firstLineChars="200"/>
        <w:jc w:val="both"/>
        <w:rPr>
          <w:rFonts w:ascii="Times New Roman" w:hAnsi="Times New Roman" w:eastAsia="楷体_GB2312" w:cs="Times New Roman"/>
          <w:sz w:val="32"/>
          <w:szCs w:val="32"/>
          <w:highlight w:val="none"/>
        </w:rPr>
      </w:pPr>
      <w:r>
        <w:rPr>
          <w:rFonts w:ascii="Times New Roman" w:hAnsi="Times New Roman" w:eastAsia="楷体_GB2312" w:cs="Times New Roman"/>
          <w:sz w:val="32"/>
          <w:szCs w:val="32"/>
          <w:highlight w:val="none"/>
        </w:rPr>
        <w:t>（二）存在不足</w:t>
      </w:r>
    </w:p>
    <w:p w14:paraId="38D48D5B">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“十四五”期间，全区工业经济发展虽然取得一定成效，但产业韧性不强、附加值不高、转型步伐不快等问题依然存在，需在“十五五”时期重点突破。</w:t>
      </w:r>
    </w:p>
    <w:p w14:paraId="4D3FBAB1">
      <w:pPr>
        <w:snapToGrid w:val="0"/>
        <w:spacing w:line="600" w:lineRule="exact"/>
        <w:ind w:firstLine="640" w:firstLineChars="200"/>
        <w:jc w:val="both"/>
        <w:rPr>
          <w:rFonts w:ascii="Times New Roman" w:hAnsi="Times New Roman" w:eastAsia="方正楷体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1. </w:t>
      </w:r>
      <w:r>
        <w:rPr>
          <w:rFonts w:ascii="Times New Roman" w:hAnsi="Times New Roman" w:eastAsia="楷体_GB2312" w:cs="Times New Roman"/>
          <w:bCs/>
          <w:kern w:val="0"/>
          <w:sz w:val="32"/>
          <w:szCs w:val="32"/>
          <w:highlight w:val="none"/>
        </w:rPr>
        <w:t>产业韧性不强。</w:t>
      </w:r>
      <w:r>
        <w:rPr>
          <w:rFonts w:ascii="Times New Roman" w:hAnsi="Times New Roman" w:eastAsia="方正仿宋_GBK" w:cs="Times New Roman"/>
          <w:bCs/>
          <w:kern w:val="0"/>
          <w:sz w:val="32"/>
          <w:szCs w:val="32"/>
          <w:highlight w:val="none"/>
        </w:rPr>
        <w:t>“十四五”以来，新能源产业为海陵主导产业，对全区工业经济发展提供了有力支撑，但2024年以来，光伏行业深度调整，全区光伏企业受波及影响较</w:t>
      </w:r>
      <w:r>
        <w:rPr>
          <w:rFonts w:ascii="Times New Roman" w:hAnsi="Times New Roman" w:eastAsia="方正仿宋_GBK" w:cs="Times New Roman"/>
          <w:bCs/>
          <w:kern w:val="0"/>
          <w:sz w:val="32"/>
          <w:szCs w:val="32"/>
          <w:highlight w:val="none"/>
        </w:rPr>
        <w:t>大，</w:t>
      </w:r>
      <w:r>
        <w:rPr>
          <w:rFonts w:hint="eastAsia" w:ascii="Times New Roman" w:hAnsi="Times New Roman" w:eastAsia="方正仿宋_GBK" w:cs="Times New Roman"/>
          <w:bCs/>
          <w:kern w:val="0"/>
          <w:sz w:val="32"/>
          <w:szCs w:val="32"/>
          <w:highlight w:val="none"/>
        </w:rPr>
        <w:t>原材料价格波动、企业盈利空间受限等问题突出，工业经济持续稳定增长面临较大压力</w:t>
      </w:r>
      <w:r>
        <w:rPr>
          <w:rFonts w:ascii="Times New Roman" w:hAnsi="Times New Roman" w:eastAsia="方正仿宋_GBK" w:cs="Times New Roman"/>
          <w:bCs/>
          <w:kern w:val="0"/>
          <w:sz w:val="32"/>
          <w:szCs w:val="32"/>
          <w:highlight w:val="none"/>
        </w:rPr>
        <w:t>。</w:t>
      </w:r>
    </w:p>
    <w:p w14:paraId="20EA01F4">
      <w:pPr>
        <w:snapToGrid w:val="0"/>
        <w:spacing w:line="600" w:lineRule="exact"/>
        <w:ind w:firstLine="640" w:firstLineChars="200"/>
        <w:jc w:val="both"/>
        <w:rPr>
          <w:rFonts w:ascii="Times New Roman" w:hAnsi="Times New Roman" w:eastAsia="方正楷体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2. </w:t>
      </w:r>
      <w:r>
        <w:rPr>
          <w:rFonts w:ascii="Times New Roman" w:hAnsi="Times New Roman" w:eastAsia="楷体_GB2312" w:cs="Times New Roman"/>
          <w:bCs/>
          <w:kern w:val="0"/>
          <w:sz w:val="32"/>
          <w:szCs w:val="32"/>
          <w:highlight w:val="none"/>
        </w:rPr>
        <w:t>产业附加值不高。</w:t>
      </w:r>
      <w:r>
        <w:rPr>
          <w:rFonts w:ascii="Times New Roman" w:hAnsi="Times New Roman" w:eastAsia="方正仿宋_GBK" w:cs="Times New Roman"/>
          <w:bCs/>
          <w:kern w:val="0"/>
          <w:sz w:val="32"/>
          <w:szCs w:val="32"/>
          <w:highlight w:val="none"/>
        </w:rPr>
        <w:t>全区</w:t>
      </w:r>
      <w:r>
        <w:rPr>
          <w:rFonts w:hint="eastAsia" w:ascii="Times New Roman" w:hAnsi="Times New Roman" w:eastAsia="方正仿宋_GBK" w:cs="Times New Roman"/>
          <w:bCs/>
          <w:kern w:val="0"/>
          <w:sz w:val="32"/>
          <w:szCs w:val="32"/>
          <w:highlight w:val="none"/>
        </w:rPr>
        <w:t>中小企业普遍处于低附加值的产业链中游环节</w:t>
      </w:r>
      <w:r>
        <w:rPr>
          <w:rFonts w:ascii="Times New Roman" w:hAnsi="Times New Roman" w:eastAsia="方正仿宋_GBK" w:cs="Times New Roman"/>
          <w:bCs/>
          <w:kern w:val="0"/>
          <w:sz w:val="32"/>
          <w:szCs w:val="32"/>
          <w:highlight w:val="none"/>
        </w:rPr>
        <w:t>，</w:t>
      </w:r>
      <w:r>
        <w:rPr>
          <w:rFonts w:ascii="Times New Roman" w:hAnsi="Times New Roman" w:eastAsia="方正仿宋_GBK" w:cs="Times New Roman"/>
          <w:bCs/>
          <w:kern w:val="0"/>
          <w:sz w:val="32"/>
          <w:szCs w:val="32"/>
          <w:highlight w:val="none"/>
        </w:rPr>
        <w:t>自主创新能力弱、研发投入低，缺少利润率高、带动性强的终端产品生产型企业，成长性高、产业链延伸性好的创新型、科技型专精特新企业和细分行业“隐形冠军”企业偏少。</w:t>
      </w:r>
    </w:p>
    <w:p w14:paraId="4C59A576">
      <w:pPr>
        <w:snapToGrid w:val="0"/>
        <w:spacing w:line="600" w:lineRule="exact"/>
        <w:ind w:firstLine="640" w:firstLineChars="200"/>
        <w:jc w:val="both"/>
        <w:rPr>
          <w:rFonts w:ascii="Times New Roman" w:hAnsi="Times New Roman" w:eastAsia="方正仿宋_GBK" w:cs="Times New Roman"/>
          <w:bCs/>
          <w:kern w:val="0"/>
          <w:sz w:val="32"/>
          <w:szCs w:val="32"/>
          <w:highlight w:val="none"/>
        </w:rPr>
      </w:pPr>
      <w:r>
        <w:rPr>
          <w:rFonts w:ascii="Times New Roman" w:hAnsi="Times New Roman" w:eastAsia="方正楷体_GBK" w:cs="Times New Roman"/>
          <w:bCs/>
          <w:kern w:val="0"/>
          <w:sz w:val="32"/>
          <w:szCs w:val="32"/>
          <w:highlight w:val="none"/>
        </w:rPr>
        <w:t xml:space="preserve">3. </w:t>
      </w:r>
      <w:r>
        <w:rPr>
          <w:rFonts w:ascii="Times New Roman" w:hAnsi="Times New Roman" w:eastAsia="楷体_GB2312" w:cs="Times New Roman"/>
          <w:bCs/>
          <w:kern w:val="0"/>
          <w:sz w:val="32"/>
          <w:szCs w:val="32"/>
          <w:highlight w:val="none"/>
        </w:rPr>
        <w:t>转型步伐不快。</w:t>
      </w:r>
      <w:r>
        <w:rPr>
          <w:rFonts w:ascii="Times New Roman" w:hAnsi="Times New Roman" w:eastAsia="方正仿宋_GBK" w:cs="Times New Roman"/>
          <w:bCs/>
          <w:kern w:val="0"/>
          <w:sz w:val="32"/>
          <w:szCs w:val="32"/>
          <w:highlight w:val="none"/>
        </w:rPr>
        <w:t>部分中小企业受转型投入大、周期长、门槛高等因素影响，数字化、智能化、绿色化转型改造意愿不强，客观存在“重硬件轻软件”“重建设轻应用”现象，在技术研发、设备更新、人才培育等方面投入不足，“不敢转、不愿转、不会转”的矛盾依然存在。</w:t>
      </w:r>
    </w:p>
    <w:p w14:paraId="262D8612">
      <w:pPr>
        <w:spacing w:line="600" w:lineRule="exact"/>
        <w:ind w:firstLine="640" w:firstLineChars="200"/>
        <w:jc w:val="both"/>
        <w:rPr>
          <w:rFonts w:ascii="Times New Roman" w:hAnsi="Times New Roman" w:eastAsia="方正黑体_GBK" w:cs="Times New Roman"/>
          <w:sz w:val="32"/>
          <w:szCs w:val="32"/>
          <w:highlight w:val="none"/>
        </w:rPr>
      </w:pPr>
      <w:r>
        <w:rPr>
          <w:rFonts w:ascii="Times New Roman" w:hAnsi="Times New Roman" w:eastAsia="方正黑体_GBK" w:cs="Times New Roman"/>
          <w:sz w:val="32"/>
          <w:szCs w:val="32"/>
          <w:highlight w:val="none"/>
        </w:rPr>
        <w:t>二、面临形势</w:t>
      </w:r>
    </w:p>
    <w:p w14:paraId="3B7D3116">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“十五五”时期是我国推进新型工业化、培育发展新质生产力、加快建设制造强国的关键五年</w:t>
      </w:r>
      <w:r>
        <w:rPr>
          <w:rFonts w:hint="eastAsia" w:ascii="Times New Roman" w:hAnsi="Times New Roman" w:eastAsia="方正仿宋_GBK" w:cs="Times New Roman"/>
          <w:sz w:val="32"/>
          <w:szCs w:val="32"/>
          <w:highlight w:val="none"/>
        </w:rPr>
        <w:t>。当前</w:t>
      </w:r>
      <w:r>
        <w:rPr>
          <w:rFonts w:ascii="Times New Roman" w:hAnsi="Times New Roman" w:eastAsia="方正仿宋_GBK" w:cs="Times New Roman"/>
          <w:sz w:val="32"/>
          <w:szCs w:val="32"/>
          <w:highlight w:val="none"/>
        </w:rPr>
        <w:t>工业发展处于战略机遇和风险挑战并存、不确定难预料因素增多的历史阶段，</w:t>
      </w:r>
      <w:r>
        <w:rPr>
          <w:rFonts w:hint="eastAsia" w:ascii="Times New Roman" w:hAnsi="Times New Roman" w:eastAsia="方正仿宋_GBK" w:cs="Times New Roman"/>
          <w:sz w:val="32"/>
          <w:szCs w:val="32"/>
          <w:highlight w:val="none"/>
        </w:rPr>
        <w:t>既面临复杂严峻的外部环境，也迎来科技创新迭代加速的变革窗口。</w:t>
      </w:r>
    </w:p>
    <w:p w14:paraId="4CD0FCF2">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楷体_GB2312" w:cs="Times New Roman"/>
          <w:sz w:val="32"/>
          <w:szCs w:val="32"/>
          <w:highlight w:val="none"/>
        </w:rPr>
        <w:t>从国际看，</w:t>
      </w:r>
      <w:r>
        <w:rPr>
          <w:rFonts w:ascii="Times New Roman" w:hAnsi="Times New Roman" w:eastAsia="方正仿宋_GBK" w:cs="Times New Roman"/>
          <w:sz w:val="32"/>
          <w:szCs w:val="32"/>
          <w:highlight w:val="none"/>
        </w:rPr>
        <w:t>世界百年未有之大变局加速演进，新一轮科技革命和产业变革</w:t>
      </w:r>
      <w:r>
        <w:rPr>
          <w:rFonts w:hint="eastAsia" w:ascii="Times New Roman" w:hAnsi="Times New Roman" w:eastAsia="方正仿宋_GBK" w:cs="Times New Roman"/>
          <w:sz w:val="32"/>
          <w:szCs w:val="32"/>
          <w:highlight w:val="none"/>
        </w:rPr>
        <w:t>纵深推进，</w:t>
      </w:r>
      <w:r>
        <w:rPr>
          <w:rFonts w:ascii="Times New Roman" w:hAnsi="Times New Roman" w:eastAsia="方正仿宋_GBK" w:cs="Times New Roman"/>
          <w:sz w:val="32"/>
          <w:szCs w:val="32"/>
          <w:highlight w:val="none"/>
        </w:rPr>
        <w:t>全球产业格局深度重构</w:t>
      </w:r>
      <w:r>
        <w:rPr>
          <w:rFonts w:hint="eastAsia" w:ascii="Times New Roman" w:hAnsi="Times New Roman" w:eastAsia="方正仿宋_GBK" w:cs="Times New Roman"/>
          <w:sz w:val="32"/>
          <w:szCs w:val="32"/>
          <w:highlight w:val="none"/>
        </w:rPr>
        <w:t>。</w:t>
      </w:r>
      <w:r>
        <w:rPr>
          <w:rFonts w:ascii="Times New Roman" w:hAnsi="Times New Roman" w:eastAsia="方正仿宋_GBK" w:cs="Times New Roman"/>
          <w:sz w:val="32"/>
          <w:szCs w:val="32"/>
          <w:highlight w:val="none"/>
        </w:rPr>
        <w:t>人工智能、新材料、生物制造等前沿技术群体性突破，</w:t>
      </w:r>
      <w:r>
        <w:rPr>
          <w:rFonts w:hint="eastAsia" w:ascii="Times New Roman" w:hAnsi="Times New Roman" w:eastAsia="方正仿宋_GBK" w:cs="Times New Roman"/>
          <w:sz w:val="32"/>
          <w:szCs w:val="32"/>
          <w:highlight w:val="none"/>
        </w:rPr>
        <w:t>为海陵立足特色赛道嵌入全球产业配套、培育专精特新优势、推进工业转型发展提供了前沿技术支撑和广阔市场空间。但全球经济复苏乏力、</w:t>
      </w:r>
      <w:r>
        <w:rPr>
          <w:rFonts w:ascii="Times New Roman" w:hAnsi="Times New Roman" w:eastAsia="方正仿宋_GBK" w:cs="Times New Roman"/>
          <w:sz w:val="32"/>
          <w:szCs w:val="32"/>
          <w:highlight w:val="none"/>
        </w:rPr>
        <w:t>地缘冲突加剧，单边主义、保护主义持续抬头，技术封锁、贸易壁垒</w:t>
      </w:r>
      <w:r>
        <w:rPr>
          <w:rFonts w:hint="eastAsia" w:ascii="Times New Roman" w:hAnsi="Times New Roman" w:eastAsia="方正仿宋_GBK" w:cs="Times New Roman"/>
          <w:sz w:val="32"/>
          <w:szCs w:val="32"/>
          <w:highlight w:val="none"/>
        </w:rPr>
        <w:t>与</w:t>
      </w:r>
      <w:r>
        <w:rPr>
          <w:rFonts w:ascii="Times New Roman" w:hAnsi="Times New Roman" w:eastAsia="方正仿宋_GBK" w:cs="Times New Roman"/>
          <w:sz w:val="32"/>
          <w:szCs w:val="32"/>
          <w:highlight w:val="none"/>
        </w:rPr>
        <w:t>规则博弈不断加剧，产业链供应链加速区域化、本土化调整，外部环境的复杂性、严峻性、不确定性显著上升</w:t>
      </w:r>
      <w:r>
        <w:rPr>
          <w:rFonts w:hint="eastAsia" w:ascii="Times New Roman" w:hAnsi="Times New Roman" w:eastAsia="方正仿宋_GBK" w:cs="Times New Roman"/>
          <w:sz w:val="32"/>
          <w:szCs w:val="32"/>
          <w:highlight w:val="none"/>
        </w:rPr>
        <w:t>，工业领域面临技术、市场、供应链等多重外部压力。</w:t>
      </w:r>
    </w:p>
    <w:p w14:paraId="349811F3">
      <w:pPr>
        <w:spacing w:line="600" w:lineRule="exact"/>
        <w:ind w:firstLine="640" w:firstLineChars="200"/>
        <w:jc w:val="both"/>
        <w:rPr>
          <w:rFonts w:hint="eastAsia" w:ascii="Times New Roman" w:hAnsi="Times New Roman" w:eastAsia="方正仿宋_GBK" w:cs="Times New Roman"/>
          <w:sz w:val="32"/>
          <w:szCs w:val="32"/>
          <w:highlight w:val="none"/>
        </w:rPr>
      </w:pPr>
      <w:bookmarkStart w:id="4" w:name="OLE_LINK1"/>
      <w:r>
        <w:rPr>
          <w:rFonts w:ascii="Times New Roman" w:hAnsi="Times New Roman" w:eastAsia="楷体_GB2312" w:cs="Times New Roman"/>
          <w:sz w:val="32"/>
          <w:szCs w:val="32"/>
          <w:highlight w:val="none"/>
        </w:rPr>
        <w:t>从国内看，</w:t>
      </w:r>
      <w:r>
        <w:rPr>
          <w:rFonts w:ascii="Times New Roman" w:hAnsi="Times New Roman" w:eastAsia="方正仿宋_GBK" w:cs="Times New Roman"/>
          <w:sz w:val="32"/>
          <w:szCs w:val="32"/>
          <w:highlight w:val="none"/>
        </w:rPr>
        <w:t>我国拥有完整工业体系、超大规模市场、丰富人才资源等综合优势，设备更新、消费升级、新型基础设施建设持续释放内需潜力，为</w:t>
      </w:r>
      <w:r>
        <w:rPr>
          <w:rFonts w:hint="eastAsia" w:ascii="Times New Roman" w:hAnsi="Times New Roman" w:eastAsia="方正仿宋_GBK" w:cs="Times New Roman"/>
          <w:sz w:val="32"/>
          <w:szCs w:val="32"/>
          <w:highlight w:val="none"/>
        </w:rPr>
        <w:t>区域</w:t>
      </w:r>
      <w:r>
        <w:rPr>
          <w:rFonts w:ascii="Times New Roman" w:hAnsi="Times New Roman" w:eastAsia="方正仿宋_GBK" w:cs="Times New Roman"/>
          <w:sz w:val="32"/>
          <w:szCs w:val="32"/>
          <w:highlight w:val="none"/>
        </w:rPr>
        <w:t>工业</w:t>
      </w:r>
      <w:r>
        <w:rPr>
          <w:rFonts w:hint="eastAsia" w:ascii="Times New Roman" w:hAnsi="Times New Roman" w:eastAsia="方正仿宋_GBK" w:cs="Times New Roman"/>
          <w:sz w:val="32"/>
          <w:szCs w:val="32"/>
          <w:highlight w:val="none"/>
        </w:rPr>
        <w:t>经济</w:t>
      </w:r>
      <w:r>
        <w:rPr>
          <w:rFonts w:ascii="Times New Roman" w:hAnsi="Times New Roman" w:eastAsia="方正仿宋_GBK" w:cs="Times New Roman"/>
          <w:sz w:val="32"/>
          <w:szCs w:val="32"/>
          <w:highlight w:val="none"/>
        </w:rPr>
        <w:t>高质量发展</w:t>
      </w:r>
      <w:r>
        <w:rPr>
          <w:rFonts w:hint="eastAsia" w:ascii="Times New Roman" w:hAnsi="Times New Roman" w:eastAsia="方正仿宋_GBK" w:cs="Times New Roman"/>
          <w:sz w:val="32"/>
          <w:szCs w:val="32"/>
          <w:highlight w:val="none"/>
        </w:rPr>
        <w:t>筑牢</w:t>
      </w:r>
      <w:r>
        <w:rPr>
          <w:rFonts w:ascii="Times New Roman" w:hAnsi="Times New Roman" w:eastAsia="方正仿宋_GBK" w:cs="Times New Roman"/>
          <w:sz w:val="32"/>
          <w:szCs w:val="32"/>
          <w:highlight w:val="none"/>
        </w:rPr>
        <w:t>坚实支撑。</w:t>
      </w:r>
      <w:r>
        <w:rPr>
          <w:rFonts w:hint="eastAsia" w:ascii="Times New Roman" w:hAnsi="Times New Roman" w:eastAsia="方正仿宋_GBK" w:cs="Times New Roman"/>
          <w:sz w:val="32"/>
          <w:szCs w:val="32"/>
          <w:highlight w:val="none"/>
        </w:rPr>
        <w:t>但</w:t>
      </w:r>
      <w:r>
        <w:rPr>
          <w:rFonts w:ascii="Times New Roman" w:hAnsi="Times New Roman" w:eastAsia="方正仿宋_GBK" w:cs="Times New Roman"/>
          <w:sz w:val="32"/>
          <w:szCs w:val="32"/>
          <w:highlight w:val="none"/>
        </w:rPr>
        <w:t>深层次结构性矛盾仍然突出</w:t>
      </w:r>
      <w:r>
        <w:rPr>
          <w:rFonts w:hint="eastAsia" w:ascii="Times New Roman" w:hAnsi="Times New Roman" w:eastAsia="方正仿宋_GBK" w:cs="Times New Roman"/>
          <w:sz w:val="32"/>
          <w:szCs w:val="32"/>
          <w:highlight w:val="none"/>
        </w:rPr>
        <w:t>，</w:t>
      </w:r>
      <w:r>
        <w:rPr>
          <w:rFonts w:ascii="Times New Roman" w:hAnsi="Times New Roman" w:eastAsia="方正仿宋_GBK" w:cs="Times New Roman"/>
          <w:sz w:val="32"/>
          <w:szCs w:val="32"/>
          <w:highlight w:val="none"/>
        </w:rPr>
        <w:t>产业基础</w:t>
      </w:r>
      <w:r>
        <w:rPr>
          <w:rFonts w:hint="eastAsia" w:ascii="Times New Roman" w:hAnsi="Times New Roman" w:eastAsia="方正仿宋_GBK" w:cs="Times New Roman"/>
          <w:sz w:val="32"/>
          <w:szCs w:val="32"/>
          <w:highlight w:val="none"/>
        </w:rPr>
        <w:t>存在</w:t>
      </w:r>
      <w:r>
        <w:rPr>
          <w:rFonts w:ascii="Times New Roman" w:hAnsi="Times New Roman" w:eastAsia="方正仿宋_GBK" w:cs="Times New Roman"/>
          <w:sz w:val="32"/>
          <w:szCs w:val="32"/>
          <w:highlight w:val="none"/>
        </w:rPr>
        <w:t>短板</w:t>
      </w:r>
      <w:r>
        <w:rPr>
          <w:rFonts w:hint="eastAsia" w:ascii="Times New Roman" w:hAnsi="Times New Roman" w:eastAsia="方正仿宋_GBK" w:cs="Times New Roman"/>
          <w:sz w:val="32"/>
          <w:szCs w:val="32"/>
          <w:highlight w:val="none"/>
        </w:rPr>
        <w:t>、关键核心技术“卡脖子”、</w:t>
      </w:r>
      <w:r>
        <w:rPr>
          <w:rFonts w:ascii="Times New Roman" w:hAnsi="Times New Roman" w:eastAsia="方正仿宋_GBK" w:cs="Times New Roman"/>
          <w:sz w:val="32"/>
          <w:szCs w:val="32"/>
          <w:highlight w:val="none"/>
        </w:rPr>
        <w:t>传统产业同质化竞争</w:t>
      </w:r>
      <w:r>
        <w:rPr>
          <w:rFonts w:hint="eastAsia" w:ascii="Times New Roman" w:hAnsi="Times New Roman" w:eastAsia="方正仿宋_GBK" w:cs="Times New Roman"/>
          <w:sz w:val="32"/>
          <w:szCs w:val="32"/>
          <w:highlight w:val="none"/>
        </w:rPr>
        <w:t>、</w:t>
      </w:r>
      <w:r>
        <w:rPr>
          <w:rFonts w:ascii="Times New Roman" w:hAnsi="Times New Roman" w:eastAsia="方正仿宋_GBK" w:cs="Times New Roman"/>
          <w:sz w:val="32"/>
          <w:szCs w:val="32"/>
          <w:highlight w:val="none"/>
        </w:rPr>
        <w:t>要素</w:t>
      </w:r>
      <w:r>
        <w:rPr>
          <w:rFonts w:hint="eastAsia" w:ascii="Times New Roman" w:hAnsi="Times New Roman" w:eastAsia="方正仿宋_GBK" w:cs="Times New Roman"/>
          <w:sz w:val="32"/>
          <w:szCs w:val="32"/>
          <w:highlight w:val="none"/>
        </w:rPr>
        <w:t>环境</w:t>
      </w:r>
      <w:r>
        <w:rPr>
          <w:rFonts w:ascii="Times New Roman" w:hAnsi="Times New Roman" w:eastAsia="方正仿宋_GBK" w:cs="Times New Roman"/>
          <w:sz w:val="32"/>
          <w:szCs w:val="32"/>
          <w:highlight w:val="none"/>
        </w:rPr>
        <w:t>约束趋紧</w:t>
      </w:r>
      <w:r>
        <w:rPr>
          <w:rFonts w:hint="eastAsia" w:ascii="Times New Roman" w:hAnsi="Times New Roman" w:eastAsia="方正仿宋_GBK" w:cs="Times New Roman"/>
          <w:sz w:val="32"/>
          <w:szCs w:val="32"/>
          <w:highlight w:val="none"/>
        </w:rPr>
        <w:t>等问题亟待破解。</w:t>
      </w:r>
    </w:p>
    <w:p w14:paraId="4CC38853">
      <w:pPr>
        <w:spacing w:line="600"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ascii="Times New Roman" w:hAnsi="Times New Roman" w:eastAsia="楷体_GB2312" w:cs="Times New Roman"/>
          <w:sz w:val="32"/>
          <w:szCs w:val="32"/>
          <w:highlight w:val="none"/>
        </w:rPr>
        <w:t>从</w:t>
      </w:r>
      <w:r>
        <w:rPr>
          <w:rFonts w:hint="default" w:ascii="Times New Roman" w:hAnsi="Times New Roman" w:eastAsia="楷体_GB2312" w:cs="Times New Roman"/>
          <w:sz w:val="32"/>
          <w:szCs w:val="32"/>
          <w:highlight w:val="none"/>
          <w:lang w:val="en-US" w:eastAsia="zh-CN"/>
        </w:rPr>
        <w:t>周边看</w:t>
      </w:r>
      <w:r>
        <w:rPr>
          <w:rFonts w:ascii="Times New Roman" w:hAnsi="Times New Roman" w:eastAsia="楷体_GB2312" w:cs="Times New Roman"/>
          <w:sz w:val="32"/>
          <w:szCs w:val="32"/>
          <w:highlight w:val="none"/>
        </w:rPr>
        <w:t>，</w:t>
      </w:r>
      <w:r>
        <w:rPr>
          <w:rFonts w:ascii="Times New Roman" w:hAnsi="Times New Roman" w:eastAsia="方正仿宋_GBK" w:cs="Times New Roman"/>
          <w:sz w:val="32"/>
          <w:szCs w:val="32"/>
          <w:highlight w:val="none"/>
        </w:rPr>
        <w:t>随着“一带一路”、长江经济带建设、长三角区域一体化发展等战略</w:t>
      </w:r>
      <w:r>
        <w:rPr>
          <w:rFonts w:hint="default" w:ascii="Times New Roman" w:hAnsi="Times New Roman" w:eastAsia="方正仿宋_GBK" w:cs="Times New Roman"/>
          <w:sz w:val="32"/>
          <w:szCs w:val="32"/>
          <w:highlight w:val="none"/>
          <w:lang w:val="en-US" w:eastAsia="zh-CN"/>
        </w:rPr>
        <w:t>持续纵深推进，</w:t>
      </w:r>
      <w:r>
        <w:rPr>
          <w:rFonts w:hint="eastAsia" w:ascii="Times New Roman" w:hAnsi="Times New Roman" w:eastAsia="方正仿宋_GBK" w:cs="Times New Roman"/>
          <w:sz w:val="32"/>
          <w:szCs w:val="32"/>
          <w:highlight w:val="none"/>
        </w:rPr>
        <w:t>为</w:t>
      </w:r>
      <w:r>
        <w:rPr>
          <w:rFonts w:ascii="Times New Roman" w:hAnsi="Times New Roman" w:eastAsia="方正仿宋_GBK" w:cs="Times New Roman"/>
          <w:sz w:val="32"/>
          <w:szCs w:val="32"/>
          <w:highlight w:val="none"/>
        </w:rPr>
        <w:t>海陵</w:t>
      </w:r>
      <w:r>
        <w:rPr>
          <w:rFonts w:hint="eastAsia" w:ascii="Times New Roman" w:hAnsi="Times New Roman" w:eastAsia="方正仿宋_GBK" w:cs="Times New Roman"/>
          <w:sz w:val="32"/>
          <w:szCs w:val="32"/>
          <w:highlight w:val="none"/>
        </w:rPr>
        <w:t>立足自身产业根基，</w:t>
      </w:r>
      <w:r>
        <w:rPr>
          <w:rFonts w:ascii="Times New Roman" w:hAnsi="Times New Roman" w:eastAsia="方正仿宋_GBK" w:cs="Times New Roman"/>
          <w:sz w:val="32"/>
          <w:szCs w:val="32"/>
          <w:highlight w:val="none"/>
        </w:rPr>
        <w:t>找准</w:t>
      </w:r>
      <w:r>
        <w:rPr>
          <w:rFonts w:hint="eastAsia" w:ascii="Times New Roman" w:hAnsi="Times New Roman" w:eastAsia="方正仿宋_GBK" w:cs="Times New Roman"/>
          <w:sz w:val="32"/>
          <w:szCs w:val="32"/>
          <w:highlight w:val="none"/>
        </w:rPr>
        <w:t>发展</w:t>
      </w:r>
      <w:r>
        <w:rPr>
          <w:rFonts w:ascii="Times New Roman" w:hAnsi="Times New Roman" w:eastAsia="方正仿宋_GBK" w:cs="Times New Roman"/>
          <w:sz w:val="32"/>
          <w:szCs w:val="32"/>
          <w:highlight w:val="none"/>
        </w:rPr>
        <w:t>定位，</w:t>
      </w:r>
      <w:r>
        <w:rPr>
          <w:rFonts w:hint="eastAsia" w:ascii="Times New Roman" w:hAnsi="Times New Roman" w:eastAsia="方正仿宋_GBK" w:cs="Times New Roman"/>
          <w:sz w:val="32"/>
          <w:szCs w:val="32"/>
          <w:highlight w:val="none"/>
        </w:rPr>
        <w:t>探索差异化竞争优势，</w:t>
      </w:r>
      <w:r>
        <w:rPr>
          <w:rFonts w:ascii="Times New Roman" w:hAnsi="Times New Roman" w:eastAsia="方正仿宋_GBK" w:cs="Times New Roman"/>
          <w:sz w:val="32"/>
          <w:szCs w:val="32"/>
          <w:highlight w:val="none"/>
        </w:rPr>
        <w:t>深度融入省市先进制造业体系</w:t>
      </w:r>
      <w:r>
        <w:rPr>
          <w:rFonts w:hint="eastAsia" w:ascii="Times New Roman" w:hAnsi="Times New Roman" w:eastAsia="方正仿宋_GBK" w:cs="Times New Roman"/>
          <w:sz w:val="32"/>
          <w:szCs w:val="32"/>
          <w:highlight w:val="none"/>
        </w:rPr>
        <w:t>创造了有利契机</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rPr>
        <w:t>但在</w:t>
      </w:r>
      <w:r>
        <w:rPr>
          <w:rFonts w:ascii="Times New Roman" w:hAnsi="Times New Roman" w:eastAsia="方正仿宋_GBK" w:cs="Times New Roman"/>
          <w:sz w:val="32"/>
          <w:szCs w:val="32"/>
          <w:highlight w:val="none"/>
        </w:rPr>
        <w:t>区域竞争格局深度调整</w:t>
      </w:r>
      <w:r>
        <w:rPr>
          <w:rFonts w:hint="eastAsia" w:ascii="Times New Roman" w:hAnsi="Times New Roman" w:eastAsia="方正仿宋_GBK" w:cs="Times New Roman"/>
          <w:sz w:val="32"/>
          <w:szCs w:val="32"/>
          <w:highlight w:val="none"/>
        </w:rPr>
        <w:t>的新形势下，苏南高端产业集聚优势明显，</w:t>
      </w:r>
      <w:r>
        <w:rPr>
          <w:rFonts w:ascii="Times New Roman" w:hAnsi="Times New Roman" w:eastAsia="方正仿宋_GBK" w:cs="Times New Roman"/>
          <w:sz w:val="32"/>
          <w:szCs w:val="32"/>
          <w:highlight w:val="none"/>
        </w:rPr>
        <w:t>苏中、苏北在工业规模、产业体系、技术水平、链主与龙头企业等方面存在客观差距，在承接长三角制造业外溢时竞争力不足。</w:t>
      </w:r>
      <w:r>
        <w:rPr>
          <w:rFonts w:hint="default" w:ascii="Times New Roman" w:hAnsi="Times New Roman" w:eastAsia="方正仿宋_GBK" w:cs="Times New Roman"/>
          <w:sz w:val="32"/>
          <w:szCs w:val="32"/>
          <w:highlight w:val="none"/>
          <w:lang w:val="en-US" w:eastAsia="zh-CN"/>
        </w:rPr>
        <w:t>随着全国统一大市场建设的深入推进，传统“拼政策”的招商模式难以为继，如何挖掘自身特色，营造优</w:t>
      </w:r>
      <w:r>
        <w:rPr>
          <w:rFonts w:hint="default" w:ascii="Times New Roman" w:hAnsi="Times New Roman" w:eastAsia="方正仿宋_GBK" w:cs="Times New Roman"/>
          <w:sz w:val="32"/>
          <w:szCs w:val="32"/>
          <w:highlight w:val="none"/>
          <w:lang w:val="en-US" w:eastAsia="zh-CN"/>
        </w:rPr>
        <w:t>质营商环境，探索差异化竞争优势，成为新形势下推动经济发展的关键课题。</w:t>
      </w:r>
      <w:bookmarkEnd w:id="4"/>
      <w:r>
        <w:rPr>
          <w:rFonts w:hint="default" w:ascii="Times New Roman" w:hAnsi="Times New Roman" w:eastAsia="方正仿宋_GBK" w:cs="Times New Roman"/>
          <w:sz w:val="32"/>
          <w:szCs w:val="32"/>
          <w:highlight w:val="none"/>
          <w:lang w:val="en-US" w:eastAsia="zh-CN"/>
        </w:rPr>
        <w:t>海陵需在区域一体化发展中找准定位，深度融入全省、全市先进制造业体系，发挥自身产业特色优势，提升产业核心竞争力，实现跨越发展、弯道超车，打造苏中地区产业新地标。</w:t>
      </w:r>
    </w:p>
    <w:p w14:paraId="72C5AD22">
      <w:pPr>
        <w:spacing w:line="600" w:lineRule="exact"/>
        <w:ind w:firstLine="640" w:firstLineChars="200"/>
        <w:jc w:val="both"/>
        <w:rPr>
          <w:rFonts w:ascii="Times New Roman" w:hAnsi="Times New Roman" w:eastAsia="方正黑体_GBK" w:cs="Times New Roman"/>
          <w:sz w:val="32"/>
          <w:szCs w:val="32"/>
          <w:highlight w:val="none"/>
        </w:rPr>
      </w:pPr>
      <w:r>
        <w:rPr>
          <w:rFonts w:ascii="Times New Roman" w:hAnsi="Times New Roman" w:eastAsia="方正黑体_GBK" w:cs="Times New Roman"/>
          <w:sz w:val="32"/>
          <w:szCs w:val="32"/>
          <w:highlight w:val="none"/>
        </w:rPr>
        <w:t>三、总体要求</w:t>
      </w:r>
    </w:p>
    <w:p w14:paraId="248FD469">
      <w:pPr>
        <w:spacing w:line="600" w:lineRule="exact"/>
        <w:ind w:firstLine="640" w:firstLineChars="200"/>
        <w:jc w:val="both"/>
        <w:rPr>
          <w:rFonts w:ascii="Times New Roman" w:hAnsi="Times New Roman" w:eastAsia="方正黑体_GBK" w:cs="Times New Roman"/>
          <w:sz w:val="32"/>
          <w:szCs w:val="32"/>
          <w:highlight w:val="none"/>
        </w:rPr>
      </w:pPr>
      <w:r>
        <w:rPr>
          <w:rFonts w:ascii="Times New Roman" w:hAnsi="Times New Roman" w:eastAsia="方正黑体_GBK" w:cs="Times New Roman"/>
          <w:sz w:val="32"/>
          <w:szCs w:val="32"/>
          <w:highlight w:val="none"/>
        </w:rPr>
        <w:t>（一）指导思想</w:t>
      </w:r>
    </w:p>
    <w:p w14:paraId="3CD478B7">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color w:val="000000"/>
          <w:sz w:val="32"/>
          <w:szCs w:val="32"/>
          <w:highlight w:val="none"/>
        </w:rPr>
        <w:t>高举习近平新时代中国特色社会主义思想伟大旗帜，深入贯彻党的二十大和二十届历次全会精神，完整准确全面贯彻新发展理念，认真学习贯彻习近平总书记对江苏工作重要讲话精神，坚持稳中求进工作总基调，坚持以经济建设为中心，以推动高质量发展为主题，以改革创新为根本动力，深刻把握新型工业化内核，坚持把制造业放在首要位置，着力构建以</w:t>
      </w:r>
      <w:r>
        <w:rPr>
          <w:rFonts w:ascii="Times New Roman" w:hAnsi="Times New Roman" w:eastAsia="方正仿宋_GBK" w:cs="Times New Roman"/>
          <w:color w:val="000000"/>
          <w:sz w:val="32"/>
          <w:szCs w:val="32"/>
          <w:highlight w:val="none"/>
        </w:rPr>
        <w:t>“新车智数”</w:t>
      </w:r>
      <w:r>
        <w:rPr>
          <w:rFonts w:ascii="Times New Roman" w:hAnsi="Times New Roman" w:eastAsia="方正仿宋_GBK" w:cs="Times New Roman"/>
          <w:color w:val="000000"/>
          <w:sz w:val="32"/>
          <w:szCs w:val="32"/>
          <w:highlight w:val="none"/>
        </w:rPr>
        <w:t>为标志的现代化产业体系，扛起使命担当，谱写</w:t>
      </w:r>
      <w:r>
        <w:rPr>
          <w:rFonts w:ascii="Times New Roman" w:hAnsi="Times New Roman" w:eastAsia="方正仿宋_GBK" w:cs="Times New Roman"/>
          <w:color w:val="000000"/>
          <w:sz w:val="32"/>
          <w:szCs w:val="32"/>
          <w:highlight w:val="none"/>
        </w:rPr>
        <w:t>主城荣光</w:t>
      </w:r>
      <w:r>
        <w:rPr>
          <w:rFonts w:ascii="Times New Roman" w:hAnsi="Times New Roman" w:eastAsia="方正仿宋_GBK" w:cs="Times New Roman"/>
          <w:color w:val="000000"/>
          <w:sz w:val="32"/>
          <w:szCs w:val="32"/>
          <w:highlight w:val="none"/>
        </w:rPr>
        <w:t>，奋力推进中国式现代化海陵新实践。</w:t>
      </w:r>
    </w:p>
    <w:p w14:paraId="3E27E3A4">
      <w:pPr>
        <w:spacing w:line="600" w:lineRule="exact"/>
        <w:ind w:firstLine="640" w:firstLineChars="200"/>
        <w:jc w:val="both"/>
        <w:rPr>
          <w:rFonts w:ascii="Times New Roman" w:hAnsi="Times New Roman" w:eastAsia="方正黑体_GBK" w:cs="Times New Roman"/>
          <w:sz w:val="32"/>
          <w:szCs w:val="32"/>
          <w:highlight w:val="none"/>
        </w:rPr>
      </w:pPr>
      <w:r>
        <w:rPr>
          <w:rFonts w:ascii="Times New Roman" w:hAnsi="Times New Roman" w:eastAsia="方正黑体_GBK" w:cs="Times New Roman"/>
          <w:sz w:val="32"/>
          <w:szCs w:val="32"/>
          <w:highlight w:val="none"/>
        </w:rPr>
        <w:t>（二）基本原则</w:t>
      </w:r>
    </w:p>
    <w:p w14:paraId="1B54D848">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楷体_GB2312" w:cs="Times New Roman"/>
          <w:sz w:val="32"/>
          <w:szCs w:val="32"/>
          <w:highlight w:val="none"/>
        </w:rPr>
        <w:t>坚持市场主导，政府</w:t>
      </w:r>
      <w:r>
        <w:rPr>
          <w:rFonts w:hint="eastAsia" w:ascii="Times New Roman" w:hAnsi="Times New Roman" w:eastAsia="楷体_GB2312" w:cs="Times New Roman"/>
          <w:sz w:val="32"/>
          <w:szCs w:val="32"/>
          <w:highlight w:val="none"/>
          <w:lang w:val="en-US" w:eastAsia="zh-CN"/>
        </w:rPr>
        <w:t>引领</w:t>
      </w:r>
      <w:r>
        <w:rPr>
          <w:rFonts w:ascii="Times New Roman" w:hAnsi="Times New Roman" w:eastAsia="楷体_GB2312" w:cs="Times New Roman"/>
          <w:sz w:val="32"/>
          <w:szCs w:val="32"/>
          <w:highlight w:val="none"/>
        </w:rPr>
        <w:t>。</w:t>
      </w:r>
      <w:r>
        <w:rPr>
          <w:rFonts w:hint="eastAsia" w:ascii="Times New Roman" w:hAnsi="Times New Roman" w:eastAsia="方正仿宋_GBK" w:cs="Times New Roman"/>
          <w:sz w:val="32"/>
          <w:szCs w:val="32"/>
          <w:highlight w:val="none"/>
          <w:lang w:val="en-US" w:eastAsia="zh-CN"/>
        </w:rPr>
        <w:t>深度融入</w:t>
      </w:r>
      <w:r>
        <w:rPr>
          <w:rFonts w:ascii="Times New Roman" w:hAnsi="Times New Roman" w:eastAsia="方正仿宋_GBK" w:cs="Times New Roman"/>
          <w:sz w:val="32"/>
          <w:szCs w:val="32"/>
          <w:highlight w:val="none"/>
        </w:rPr>
        <w:t>全国统一大市场建设，</w:t>
      </w:r>
      <w:r>
        <w:rPr>
          <w:rFonts w:ascii="Times New Roman" w:hAnsi="Times New Roman" w:eastAsia="方正仿宋_GBK" w:cs="Times New Roman"/>
          <w:sz w:val="32"/>
          <w:szCs w:val="32"/>
          <w:highlight w:val="none"/>
        </w:rPr>
        <w:t>充分发挥市场配置资源的基础作用和企业投资主体作用，建设法治经济、信用经济，打造</w:t>
      </w:r>
      <w:r>
        <w:rPr>
          <w:rFonts w:ascii="Times New Roman" w:hAnsi="Times New Roman" w:eastAsia="方正仿宋_GBK" w:cs="Times New Roman"/>
          <w:sz w:val="32"/>
          <w:szCs w:val="32"/>
          <w:highlight w:val="none"/>
        </w:rPr>
        <w:t>市场化、法治化</w:t>
      </w:r>
      <w:r>
        <w:rPr>
          <w:rFonts w:ascii="Times New Roman" w:hAnsi="Times New Roman" w:eastAsia="方正仿宋_GBK" w:cs="Times New Roman"/>
          <w:sz w:val="32"/>
          <w:szCs w:val="32"/>
          <w:highlight w:val="none"/>
        </w:rPr>
        <w:t>一流营商环境，破除制约新质生产力发展的体制机制障碍，引导各类资源向优势产业、优势企业聚集。</w:t>
      </w:r>
    </w:p>
    <w:p w14:paraId="20FA037F">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楷体_GB2312" w:cs="Times New Roman"/>
          <w:sz w:val="32"/>
          <w:szCs w:val="32"/>
          <w:highlight w:val="none"/>
        </w:rPr>
        <w:t>坚持科技引领，创新驱动。</w:t>
      </w:r>
      <w:r>
        <w:rPr>
          <w:rFonts w:ascii="Times New Roman" w:hAnsi="Times New Roman" w:eastAsia="方正仿宋_GBK" w:cs="Times New Roman"/>
          <w:sz w:val="32"/>
          <w:szCs w:val="32"/>
          <w:highlight w:val="none"/>
        </w:rPr>
        <w:t>坚持把创新放在推进新型工业化的核心位置，发挥政策引领作用，围绕产业核心技术实施补短板、强长板、固底板，推动跨领域跨行业协同创新，深化数字经济对产业发展的赋能作用，培育融合发展新业态、新模式、新动能。</w:t>
      </w:r>
    </w:p>
    <w:p w14:paraId="3264E199">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楷体_GB2312" w:cs="Times New Roman"/>
          <w:sz w:val="32"/>
          <w:szCs w:val="32"/>
          <w:highlight w:val="none"/>
        </w:rPr>
        <w:t>坚持量质并举，增量提质。</w:t>
      </w:r>
      <w:r>
        <w:rPr>
          <w:rFonts w:ascii="Times New Roman" w:hAnsi="Times New Roman" w:eastAsia="方正仿宋_GBK" w:cs="Times New Roman"/>
          <w:sz w:val="32"/>
          <w:szCs w:val="32"/>
          <w:highlight w:val="none"/>
        </w:rPr>
        <w:t>统筹</w:t>
      </w:r>
      <w:r>
        <w:rPr>
          <w:rFonts w:ascii="Times New Roman" w:hAnsi="Times New Roman" w:eastAsia="方正仿宋_GBK" w:cs="Times New Roman"/>
          <w:sz w:val="32"/>
          <w:szCs w:val="32"/>
          <w:highlight w:val="none"/>
        </w:rPr>
        <w:t>量的合理增长和质的有效提升</w:t>
      </w:r>
      <w:r>
        <w:rPr>
          <w:rFonts w:ascii="Times New Roman" w:hAnsi="Times New Roman" w:eastAsia="方正仿宋_GBK" w:cs="Times New Roman"/>
          <w:sz w:val="32"/>
          <w:szCs w:val="32"/>
          <w:highlight w:val="none"/>
        </w:rPr>
        <w:t>，通过培育壮大新兴产业、前瞻布局未来产业做强增量，推动传统产业焕新升级做优存量，以增量赋能提质、以提质带动增量，加快构建现代化产业体系。</w:t>
      </w:r>
    </w:p>
    <w:p w14:paraId="31A18D47">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楷体_GB2312" w:cs="Times New Roman"/>
          <w:sz w:val="32"/>
          <w:szCs w:val="32"/>
          <w:highlight w:val="none"/>
        </w:rPr>
        <w:t>坚持生态优先，绿色发展。</w:t>
      </w:r>
      <w:r>
        <w:rPr>
          <w:rFonts w:ascii="Times New Roman" w:hAnsi="Times New Roman" w:eastAsia="方正仿宋_GBK" w:cs="Times New Roman"/>
          <w:sz w:val="32"/>
          <w:szCs w:val="32"/>
          <w:highlight w:val="none"/>
        </w:rPr>
        <w:t>完整准确践行绿水青山就是金山银山理念，统筹产业升级与生态保护，坚决遏制高耗能、高排放项目，加快推动传统产业绿色化改造，大力发展节能环保、新能源、循环利用等绿色产业，构建低碳高效工业生态。</w:t>
      </w:r>
    </w:p>
    <w:p w14:paraId="1DB5A939">
      <w:pPr>
        <w:spacing w:line="600" w:lineRule="exact"/>
        <w:ind w:firstLine="640" w:firstLineChars="200"/>
        <w:jc w:val="both"/>
        <w:rPr>
          <w:rFonts w:ascii="Times New Roman" w:hAnsi="Times New Roman" w:eastAsia="方正楷体_GBK" w:cs="Times New Roman"/>
          <w:sz w:val="32"/>
          <w:szCs w:val="32"/>
          <w:highlight w:val="none"/>
        </w:rPr>
      </w:pPr>
      <w:r>
        <w:rPr>
          <w:rFonts w:hint="eastAsia" w:ascii="Times New Roman" w:hAnsi="Times New Roman" w:eastAsia="楷体_GB2312" w:cs="Times New Roman"/>
          <w:sz w:val="32"/>
          <w:szCs w:val="32"/>
          <w:highlight w:val="none"/>
        </w:rPr>
        <w:t>坚持安全为本，风险防控。</w:t>
      </w:r>
      <w:r>
        <w:rPr>
          <w:rFonts w:hint="eastAsia" w:ascii="Times New Roman" w:hAnsi="Times New Roman" w:eastAsia="方正仿宋_GBK" w:cs="Times New Roman"/>
          <w:sz w:val="32"/>
          <w:szCs w:val="32"/>
          <w:highlight w:val="none"/>
        </w:rPr>
        <w:t>牢固树立安全发展底线思维，严守工业领域安全生产红线，严格落实安全生产监管责任与企业主体责任，以安全稳定护航全区工业经济高质量发展。</w:t>
      </w:r>
    </w:p>
    <w:p w14:paraId="5D29ADAC">
      <w:pPr>
        <w:spacing w:line="600" w:lineRule="exact"/>
        <w:ind w:firstLine="640" w:firstLineChars="200"/>
        <w:jc w:val="both"/>
        <w:rPr>
          <w:rFonts w:ascii="Times New Roman" w:hAnsi="Times New Roman" w:eastAsia="方正黑体_GBK" w:cs="Times New Roman"/>
          <w:sz w:val="32"/>
          <w:szCs w:val="32"/>
          <w:highlight w:val="none"/>
        </w:rPr>
      </w:pPr>
      <w:r>
        <w:rPr>
          <w:rFonts w:ascii="Times New Roman" w:hAnsi="Times New Roman" w:eastAsia="方正黑体_GBK" w:cs="Times New Roman"/>
          <w:sz w:val="32"/>
          <w:szCs w:val="32"/>
          <w:highlight w:val="none"/>
        </w:rPr>
        <w:t>（三）发展目标</w:t>
      </w:r>
    </w:p>
    <w:p w14:paraId="22F881A4">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“十五五”以发展新质生产力为主线，坚持智能化、绿色化、融合化方向，构建以“新车智数”为骨干的现代化产业体系，保持制造业合理比重，提升产业规模与质效。</w:t>
      </w:r>
    </w:p>
    <w:p w14:paraId="32924878">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w:t>
      </w:r>
      <w:r>
        <w:rPr>
          <w:rFonts w:ascii="Times New Roman" w:hAnsi="Times New Roman" w:eastAsia="楷体_GB2312" w:cs="Times New Roman"/>
          <w:sz w:val="32"/>
          <w:szCs w:val="32"/>
          <w:highlight w:val="none"/>
        </w:rPr>
        <w:t>工业规模取得突破</w:t>
      </w:r>
      <w:r>
        <w:rPr>
          <w:rFonts w:ascii="Times New Roman" w:hAnsi="Times New Roman" w:eastAsia="方正仿宋_GBK" w:cs="Times New Roman"/>
          <w:sz w:val="32"/>
          <w:szCs w:val="32"/>
          <w:highlight w:val="none"/>
        </w:rPr>
        <w:t>。工业增加值保持合理增长，到2030年，工业总产值突破1000亿元，规上工业总产值突破800亿元。</w:t>
      </w:r>
    </w:p>
    <w:p w14:paraId="30F2FFE8">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w:t>
      </w:r>
      <w:r>
        <w:rPr>
          <w:rFonts w:ascii="Times New Roman" w:hAnsi="Times New Roman" w:eastAsia="楷体_GB2312" w:cs="Times New Roman"/>
          <w:sz w:val="32"/>
          <w:szCs w:val="32"/>
          <w:highlight w:val="none"/>
        </w:rPr>
        <w:t>产业结构持续优化</w:t>
      </w:r>
      <w:r>
        <w:rPr>
          <w:rFonts w:ascii="Times New Roman" w:hAnsi="Times New Roman" w:eastAsia="方正仿宋_GBK" w:cs="Times New Roman"/>
          <w:sz w:val="32"/>
          <w:szCs w:val="32"/>
          <w:highlight w:val="none"/>
        </w:rPr>
        <w:t>。“新车智数”产业体系更加完善，到2030年，新能源、新材料产业规模达300亿元，</w:t>
      </w:r>
      <w:r>
        <w:rPr>
          <w:rFonts w:hint="default" w:ascii="Times New Roman" w:hAnsi="Times New Roman" w:eastAsia="方正仿宋_GBK" w:cs="Times New Roman"/>
          <w:sz w:val="32"/>
          <w:szCs w:val="32"/>
          <w:highlight w:val="none"/>
          <w:lang w:val="en-US" w:eastAsia="zh-CN"/>
        </w:rPr>
        <w:t>汽摩（电动车）零部件</w:t>
      </w:r>
      <w:r>
        <w:rPr>
          <w:rFonts w:ascii="Times New Roman" w:hAnsi="Times New Roman" w:eastAsia="方正仿宋_GBK" w:cs="Times New Roman"/>
          <w:sz w:val="32"/>
          <w:szCs w:val="32"/>
          <w:highlight w:val="none"/>
        </w:rPr>
        <w:t>产业规模达200亿元，</w:t>
      </w:r>
      <w:r>
        <w:rPr>
          <w:rFonts w:hint="default" w:ascii="Times New Roman" w:hAnsi="Times New Roman" w:eastAsia="方正仿宋_GBK" w:cs="Times New Roman"/>
          <w:sz w:val="32"/>
          <w:szCs w:val="32"/>
          <w:highlight w:val="none"/>
          <w:lang w:val="en-US" w:eastAsia="zh-CN"/>
        </w:rPr>
        <w:t>智慧家电、智能家居</w:t>
      </w:r>
      <w:r>
        <w:rPr>
          <w:rFonts w:ascii="Times New Roman" w:hAnsi="Times New Roman" w:eastAsia="方正仿宋_GBK" w:cs="Times New Roman"/>
          <w:sz w:val="32"/>
          <w:szCs w:val="32"/>
          <w:highlight w:val="none"/>
        </w:rPr>
        <w:t>产业规模达200亿元，数字经济产业生态与场景应用日益丰富。</w:t>
      </w:r>
    </w:p>
    <w:p w14:paraId="755038BA">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w:t>
      </w:r>
      <w:r>
        <w:rPr>
          <w:rFonts w:ascii="Times New Roman" w:hAnsi="Times New Roman" w:eastAsia="楷体_GB2312" w:cs="Times New Roman"/>
          <w:sz w:val="32"/>
          <w:szCs w:val="32"/>
          <w:highlight w:val="none"/>
        </w:rPr>
        <w:t>企业实力不断增强。</w:t>
      </w:r>
      <w:r>
        <w:rPr>
          <w:rFonts w:ascii="Times New Roman" w:hAnsi="Times New Roman" w:eastAsia="方正仿宋_GBK" w:cs="Times New Roman"/>
          <w:sz w:val="32"/>
          <w:szCs w:val="32"/>
          <w:highlight w:val="none"/>
        </w:rPr>
        <w:t>构建优质企业、专精特新企业培育梯队，到2030年，营收过亿元企业达150家（2026年预计100家），省级</w:t>
      </w:r>
      <w:r>
        <w:rPr>
          <w:rFonts w:hint="eastAsia" w:ascii="Times New Roman" w:hAnsi="Times New Roman" w:eastAsia="方正仿宋_GBK" w:cs="Times New Roman"/>
          <w:sz w:val="32"/>
          <w:szCs w:val="32"/>
          <w:highlight w:val="none"/>
        </w:rPr>
        <w:t>以上</w:t>
      </w:r>
      <w:r>
        <w:rPr>
          <w:rFonts w:ascii="Times New Roman" w:hAnsi="Times New Roman" w:eastAsia="方正仿宋_GBK" w:cs="Times New Roman"/>
          <w:sz w:val="32"/>
          <w:szCs w:val="32"/>
          <w:highlight w:val="none"/>
        </w:rPr>
        <w:t>专精特新中小企业达120家（目前</w:t>
      </w:r>
      <w:r>
        <w:rPr>
          <w:rFonts w:hint="eastAsia" w:ascii="Times New Roman" w:hAnsi="Times New Roman" w:eastAsia="方正仿宋_GBK" w:cs="Times New Roman"/>
          <w:sz w:val="32"/>
          <w:szCs w:val="32"/>
          <w:highlight w:val="none"/>
        </w:rPr>
        <w:t>91</w:t>
      </w:r>
      <w:r>
        <w:rPr>
          <w:rFonts w:ascii="Times New Roman" w:hAnsi="Times New Roman" w:eastAsia="方正仿宋_GBK" w:cs="Times New Roman"/>
          <w:sz w:val="32"/>
          <w:szCs w:val="32"/>
          <w:highlight w:val="none"/>
        </w:rPr>
        <w:t>家），主板及科创板上市企业达8家（目前4家：云涌、春兰、林海、海阳）。</w:t>
      </w:r>
    </w:p>
    <w:p w14:paraId="219D226C">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w:t>
      </w:r>
      <w:r>
        <w:rPr>
          <w:rFonts w:ascii="Times New Roman" w:hAnsi="Times New Roman" w:eastAsia="楷体_GB2312" w:cs="Times New Roman"/>
          <w:sz w:val="32"/>
          <w:szCs w:val="32"/>
          <w:highlight w:val="none"/>
        </w:rPr>
        <w:t>创新水平稳步提升。</w:t>
      </w:r>
      <w:r>
        <w:rPr>
          <w:rFonts w:ascii="Times New Roman" w:hAnsi="Times New Roman" w:eastAsia="方正仿宋_GBK" w:cs="Times New Roman"/>
          <w:sz w:val="32"/>
          <w:szCs w:val="32"/>
          <w:highlight w:val="none"/>
        </w:rPr>
        <w:t>引导企业加大自主创新与技术研发，到2030年，高新技术企业保有量突破300家，创新型中小企业达200家，</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“三首两新”企业突破150家</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（目前首台套</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7</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家、首批次材料1家、首版次软件</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4</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家、新技术新产品10</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1</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家）</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w:t>
      </w:r>
      <w:r>
        <w:rPr>
          <w:rFonts w:ascii="Times New Roman" w:hAnsi="Times New Roman" w:eastAsia="方正仿宋_GBK" w:cs="Times New Roman"/>
          <w:sz w:val="32"/>
          <w:szCs w:val="32"/>
          <w:highlight w:val="none"/>
        </w:rPr>
        <w:t>企业研发投入占比、研发机构数量持续提升。</w:t>
      </w:r>
    </w:p>
    <w:p w14:paraId="243E3D9C">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w:t>
      </w:r>
      <w:r>
        <w:rPr>
          <w:rFonts w:ascii="Times New Roman" w:hAnsi="Times New Roman" w:eastAsia="楷体_GB2312" w:cs="Times New Roman"/>
          <w:sz w:val="32"/>
          <w:szCs w:val="32"/>
          <w:highlight w:val="none"/>
        </w:rPr>
        <w:t>数实融合深入推进。</w:t>
      </w:r>
      <w:r>
        <w:rPr>
          <w:rFonts w:ascii="Times New Roman" w:hAnsi="Times New Roman" w:eastAsia="方正仿宋_GBK" w:cs="Times New Roman"/>
          <w:sz w:val="32"/>
          <w:szCs w:val="32"/>
          <w:highlight w:val="none"/>
        </w:rPr>
        <w:t>鼓励企业增资扩产，加大</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技术设备更新、智能工厂建设、数字化转型、人工智能应用，到2030年，滚动实施增资扩产项目300个以上，</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创成先进级智能工厂30家以上。</w:t>
      </w:r>
    </w:p>
    <w:p w14:paraId="02CE623E">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w:t>
      </w:r>
      <w:r>
        <w:rPr>
          <w:rFonts w:ascii="Times New Roman" w:hAnsi="Times New Roman" w:eastAsia="楷体_GB2312" w:cs="Times New Roman"/>
          <w:sz w:val="32"/>
          <w:szCs w:val="32"/>
          <w:highlight w:val="none"/>
        </w:rPr>
        <w:t>绿色发展成效显著。</w:t>
      </w:r>
      <w:r>
        <w:rPr>
          <w:rFonts w:ascii="Times New Roman" w:hAnsi="Times New Roman" w:eastAsia="方正仿宋_GBK" w:cs="Times New Roman"/>
          <w:sz w:val="32"/>
          <w:szCs w:val="32"/>
          <w:highlight w:val="none"/>
        </w:rPr>
        <w:t>提升绿色制造水平，培育绿色制造体系，</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到2030年，省级以上绿色工厂</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达</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40家</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海陵高新区创</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成</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国家级绿色工业园区</w:t>
      </w:r>
      <w:r>
        <w:rPr>
          <w:rFonts w:hint="eastAsia"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w:t>
      </w:r>
      <w:r>
        <w:rPr>
          <w:rFonts w:ascii="Times New Roman" w:hAnsi="Times New Roman" w:eastAsia="方正仿宋_GBK" w:cs="Times New Roman"/>
          <w:color w:val="000000" w:themeColor="text1"/>
          <w:sz w:val="32"/>
          <w:szCs w:val="32"/>
          <w:highlight w:val="none"/>
          <w14:textFill>
            <w14:solidFill>
              <w14:schemeClr w14:val="tx1"/>
            </w14:solidFill>
          </w14:textFill>
        </w:rPr>
        <w:t>单位产值能耗保持合理水平。</w:t>
      </w:r>
    </w:p>
    <w:p w14:paraId="429B8C76">
      <w:pPr>
        <w:spacing w:line="600" w:lineRule="exact"/>
        <w:ind w:firstLine="640" w:firstLineChars="200"/>
        <w:jc w:val="both"/>
        <w:rPr>
          <w:rFonts w:ascii="Times New Roman" w:hAnsi="Times New Roman" w:eastAsia="方正黑体_GBK" w:cs="Times New Roman"/>
          <w:color w:val="000000" w:themeColor="text1"/>
          <w:sz w:val="32"/>
          <w:szCs w:val="32"/>
          <w:highlight w:val="none"/>
          <w14:textFill>
            <w14:solidFill>
              <w14:schemeClr w14:val="tx1"/>
            </w14:solidFill>
          </w14:textFill>
        </w:rPr>
      </w:pPr>
      <w:r>
        <w:rPr>
          <w:rFonts w:ascii="Times New Roman" w:hAnsi="Times New Roman" w:eastAsia="方正黑体_GBK" w:cs="Times New Roman"/>
          <w:color w:val="000000" w:themeColor="text1"/>
          <w:sz w:val="32"/>
          <w:szCs w:val="32"/>
          <w:highlight w:val="none"/>
          <w14:textFill>
            <w14:solidFill>
              <w14:schemeClr w14:val="tx1"/>
            </w14:solidFill>
          </w14:textFill>
        </w:rPr>
        <w:t>四、产业方向</w:t>
      </w:r>
    </w:p>
    <w:p w14:paraId="64685D97">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十五五”时期，准确把握发展新质生产力是推动高质量发展的内在要求，抢抓新一轮科技革命和产业变革机遇，坚持系统观念，以实体经济为根基，以科技创新为核心，以产业升级为方向，持续推进传统产业焕新、新兴产业壮大、未来产业布局，构建以“新车智数”为代表的现代化产业体系。</w:t>
      </w:r>
    </w:p>
    <w:p w14:paraId="12DB48B8">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（一）传统产业</w:t>
      </w:r>
    </w:p>
    <w:p w14:paraId="01816CAD">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围绕数控机床、农机装备、食品加工、纺织服装等领域，以智能化、数字化、高端化、品牌化为转型引擎，加快新技术、新工艺、新模式嵌入生产全链条，推动传统产业从低端供给向高附加值、精细化转变。</w:t>
      </w:r>
    </w:p>
    <w:p w14:paraId="5D32D44E">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数控机床。整合现有产业基础，支持企业打造立卧复合加工中心、铣削加工中心、电火花线切割机床、电火花成型机床等特种机床核心产品矩阵，重塑特种加工领域优势。推动产业链从整机集成向上游关键功能部件延伸，着力招引数控系统、精密主轴、导轨、转台等核心部件企业，健全产业链配套体系。</w:t>
      </w:r>
    </w:p>
    <w:p w14:paraId="02079BAB">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——农机装备。抢抓农业现代化发展趋势，依托高速插秧机、谷物联合收割机等核心产品，推动产业“整零协同”纵深发展，加速集聚</w:t>
      </w:r>
      <w:r>
        <w:rPr>
          <w:rFonts w:hint="eastAsia" w:ascii="Times New Roman" w:hAnsi="Times New Roman" w:eastAsia="方正仿宋_GBK" w:cs="Times New Roman"/>
          <w:sz w:val="32"/>
          <w:szCs w:val="32"/>
          <w:highlight w:val="none"/>
          <w:lang w:val="en-US" w:eastAsia="zh-CN"/>
        </w:rPr>
        <w:t>驾驶舱、车架、底盘、</w:t>
      </w:r>
      <w:r>
        <w:rPr>
          <w:rFonts w:ascii="Times New Roman" w:hAnsi="Times New Roman" w:eastAsia="方正仿宋_GBK" w:cs="Times New Roman"/>
          <w:sz w:val="32"/>
          <w:szCs w:val="32"/>
          <w:highlight w:val="none"/>
        </w:rPr>
        <w:t>传动系统、液压系统、智能电控等关键零部件企业。鼓励本地企业加强与国内头部企业合作，加大研发新产品，</w:t>
      </w:r>
      <w:r>
        <w:rPr>
          <w:rFonts w:hint="eastAsia" w:ascii="Times New Roman" w:hAnsi="Times New Roman" w:eastAsia="方正仿宋_GBK" w:cs="Times New Roman"/>
          <w:sz w:val="32"/>
          <w:szCs w:val="32"/>
          <w:highlight w:val="none"/>
          <w:lang w:val="en-US" w:eastAsia="zh-CN"/>
        </w:rPr>
        <w:t>围绕</w:t>
      </w:r>
      <w:r>
        <w:rPr>
          <w:rFonts w:ascii="Times New Roman" w:hAnsi="Times New Roman" w:eastAsia="方正仿宋_GBK" w:cs="Times New Roman"/>
          <w:sz w:val="32"/>
          <w:szCs w:val="32"/>
          <w:highlight w:val="none"/>
        </w:rPr>
        <w:t>国内丘陵山区与平原农田并存的复杂地形需求，推动产品向“精准适配、场景定制”方向</w:t>
      </w:r>
      <w:r>
        <w:rPr>
          <w:rFonts w:hint="eastAsia" w:ascii="Times New Roman" w:hAnsi="Times New Roman" w:eastAsia="方正仿宋_GBK" w:cs="Times New Roman"/>
          <w:sz w:val="32"/>
          <w:szCs w:val="32"/>
          <w:highlight w:val="none"/>
          <w:lang w:val="en-US" w:eastAsia="zh-CN"/>
        </w:rPr>
        <w:t>迭代升级</w:t>
      </w:r>
      <w:r>
        <w:rPr>
          <w:rFonts w:ascii="Times New Roman" w:hAnsi="Times New Roman" w:eastAsia="方正仿宋_GBK" w:cs="Times New Roman"/>
          <w:sz w:val="32"/>
          <w:szCs w:val="32"/>
          <w:highlight w:val="none"/>
        </w:rPr>
        <w:t>。</w:t>
      </w:r>
    </w:p>
    <w:p w14:paraId="78EB9A34">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——食品加工。持续优化啤酒麦芽发酵</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健康食品、早茶</w:t>
      </w:r>
      <w:r>
        <w:rPr>
          <w:rFonts w:hint="eastAsia" w:ascii="Times New Roman" w:hAnsi="Times New Roman" w:eastAsia="方正仿宋_GBK" w:cs="Times New Roman"/>
          <w:sz w:val="32"/>
          <w:szCs w:val="32"/>
          <w:highlight w:val="none"/>
          <w:lang w:val="en-US" w:eastAsia="zh-CN"/>
        </w:rPr>
        <w:t>面点等生产</w:t>
      </w:r>
      <w:r>
        <w:rPr>
          <w:rFonts w:ascii="Times New Roman" w:hAnsi="Times New Roman" w:eastAsia="方正仿宋_GBK" w:cs="Times New Roman"/>
          <w:sz w:val="32"/>
          <w:szCs w:val="32"/>
          <w:highlight w:val="none"/>
        </w:rPr>
        <w:t>工艺，以智能制造赋能传统产线，紧扣消费升级</w:t>
      </w:r>
      <w:r>
        <w:rPr>
          <w:rFonts w:hint="eastAsia" w:ascii="Times New Roman" w:hAnsi="Times New Roman" w:eastAsia="方正仿宋_GBK" w:cs="Times New Roman"/>
          <w:sz w:val="32"/>
          <w:szCs w:val="32"/>
          <w:highlight w:val="none"/>
          <w:lang w:val="en-US" w:eastAsia="zh-CN"/>
        </w:rPr>
        <w:t>与特色文旅发展</w:t>
      </w:r>
      <w:r>
        <w:rPr>
          <w:rFonts w:ascii="Times New Roman" w:hAnsi="Times New Roman" w:eastAsia="方正仿宋_GBK" w:cs="Times New Roman"/>
          <w:sz w:val="32"/>
          <w:szCs w:val="32"/>
          <w:highlight w:val="none"/>
        </w:rPr>
        <w:t>趋势，优化产品结构，发展多元品类，塑造品牌优势。迭代升级无抗技术，做精高档乳猪配合饲料拳头产品，填补国内无抗断奶饲料领域空白。鼓励食品装备企业持续推进数字化升级，优化无菌加工、精准控温、自动化灌装等核心技术，推动装备设计向模块化、柔性化方向发展，提供定制化解决方案。</w:t>
      </w:r>
    </w:p>
    <w:p w14:paraId="0187A7BF">
      <w:pPr>
        <w:spacing w:line="600" w:lineRule="exact"/>
        <w:ind w:firstLine="640" w:firstLineChars="200"/>
        <w:jc w:val="both"/>
        <w:rPr>
          <w:rFonts w:ascii="Times New Roman" w:hAnsi="Times New Roman" w:eastAsia="方正黑体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sz w:val="32"/>
          <w:szCs w:val="32"/>
          <w:highlight w:val="none"/>
        </w:rPr>
        <w:t>——纺织服装。鼓励企业加快服务型制造转型，着力提升工业设计能力、自主品牌市场占有率，以文化创造力为核心构建品牌叙事体系。聚焦高性能户外服饰、智能家纺等新兴消费场景，开拓增量赛道。围绕高性能纤维、复合材料等前沿面料开发新技术、新产品，提高产品附加值。</w:t>
      </w:r>
    </w:p>
    <w:p w14:paraId="4C3AEF53">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（二）新兴产业</w:t>
      </w:r>
    </w:p>
    <w:p w14:paraId="0BFC320D">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新能源产业</w:t>
      </w:r>
    </w:p>
    <w:p w14:paraId="6518D511">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放大晶硅光伏省级特色中小企业产业集群效应，加强产业链补链延链，巩固提升产业链本地配套率。抢抓储能、特高压能源转型风口，培育本地企业做大做强，招引核心零部件企业落户。大力推广光伏及储能场景应用，加速发展分布式光伏、光储充一体化电站。</w:t>
      </w:r>
    </w:p>
    <w:p w14:paraId="04B2DDCC">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——晶硅光伏。聚焦隆基绿能等行业龙头企业，从技术迭代、产品升级、配套生态等多维度发力，推动先进技术组件产品量产落地，</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布局钙钛矿等先进光伏电池技术路线</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auto"/>
          <w:sz w:val="32"/>
          <w:szCs w:val="32"/>
          <w:highlight w:val="none"/>
          <w:u w:val="none"/>
          <w:lang w:val="en-US" w:eastAsia="zh-CN"/>
        </w:rPr>
        <w:t>支持光伏设备核心部件</w:t>
      </w:r>
      <w:r>
        <w:rPr>
          <w:rFonts w:hint="default" w:ascii="Times New Roman" w:hAnsi="Times New Roman" w:eastAsia="方正仿宋_GBK" w:cs="Times New Roman"/>
          <w:color w:val="auto"/>
          <w:sz w:val="32"/>
          <w:szCs w:val="32"/>
          <w:highlight w:val="none"/>
          <w:u w:val="none"/>
          <w:lang w:val="en-US" w:eastAsia="zh-CN"/>
        </w:rPr>
        <w:t>企业</w:t>
      </w:r>
      <w:r>
        <w:rPr>
          <w:rFonts w:hint="eastAsia" w:ascii="Times New Roman" w:hAnsi="Times New Roman" w:eastAsia="方正仿宋_GBK" w:cs="Times New Roman"/>
          <w:color w:val="auto"/>
          <w:sz w:val="32"/>
          <w:szCs w:val="32"/>
          <w:highlight w:val="none"/>
          <w:u w:val="none"/>
          <w:lang w:val="en-US" w:eastAsia="zh-CN"/>
        </w:rPr>
        <w:t>升级</w:t>
      </w:r>
      <w:r>
        <w:rPr>
          <w:rFonts w:hint="default" w:ascii="Times New Roman" w:hAnsi="Times New Roman" w:eastAsia="方正仿宋_GBK" w:cs="Times New Roman"/>
          <w:color w:val="auto"/>
          <w:sz w:val="32"/>
          <w:szCs w:val="32"/>
          <w:highlight w:val="none"/>
          <w:u w:val="none"/>
          <w:lang w:val="en-US" w:eastAsia="zh-CN"/>
        </w:rPr>
        <w:t>关键制程工序，</w:t>
      </w:r>
      <w:r>
        <w:rPr>
          <w:rFonts w:hint="eastAsia" w:ascii="Times New Roman" w:hAnsi="Times New Roman" w:eastAsia="方正仿宋_GBK" w:cs="Times New Roman"/>
          <w:color w:val="auto"/>
          <w:sz w:val="32"/>
          <w:szCs w:val="32"/>
          <w:highlight w:val="none"/>
          <w:u w:val="none"/>
          <w:lang w:val="en-US" w:eastAsia="zh-CN"/>
        </w:rPr>
        <w:t>提升电池转化效率</w:t>
      </w:r>
      <w:r>
        <w:rPr>
          <w:rFonts w:hint="default" w:ascii="Times New Roman" w:hAnsi="Times New Roman" w:eastAsia="方正仿宋_GBK" w:cs="Times New Roman"/>
          <w:color w:val="auto"/>
          <w:sz w:val="32"/>
          <w:szCs w:val="32"/>
          <w:highlight w:val="none"/>
          <w:u w:val="none"/>
          <w:lang w:val="en-US" w:eastAsia="zh-CN"/>
        </w:rPr>
        <w:t>。</w:t>
      </w:r>
      <w:r>
        <w:rPr>
          <w:rFonts w:ascii="Times New Roman" w:hAnsi="Times New Roman" w:eastAsia="方正仿宋_GBK" w:cs="Times New Roman"/>
          <w:color w:val="000000" w:themeColor="text1"/>
          <w:sz w:val="32"/>
          <w:szCs w:val="32"/>
          <w:highlight w:val="none"/>
          <w14:textFill>
            <w14:solidFill>
              <w14:schemeClr w14:val="tx1"/>
            </w14:solidFill>
          </w14:textFill>
        </w:rPr>
        <w:t>巩固补强胶膜、玻璃、接线盒、边框、背板、焊带等配套封装辅材环节，加大串焊、层压、装框等组件</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生产</w:t>
      </w:r>
      <w:r>
        <w:rPr>
          <w:rFonts w:ascii="Times New Roman" w:hAnsi="Times New Roman" w:eastAsia="方正仿宋_GBK" w:cs="Times New Roman"/>
          <w:color w:val="000000" w:themeColor="text1"/>
          <w:sz w:val="32"/>
          <w:szCs w:val="32"/>
          <w:highlight w:val="none"/>
          <w14:textFill>
            <w14:solidFill>
              <w14:schemeClr w14:val="tx1"/>
            </w14:solidFill>
          </w14:textFill>
        </w:rPr>
        <w:t>设备，逆变器、变流器、汇流箱等电气设备企业招引力度，提高本地配套率，做大产业规模。</w:t>
      </w:r>
    </w:p>
    <w:p w14:paraId="5CF38ECF">
      <w:pPr>
        <w:spacing w:line="600" w:lineRule="exact"/>
        <w:ind w:firstLine="640" w:firstLineChars="200"/>
        <w:jc w:val="both"/>
        <w:rPr>
          <w:rFonts w:ascii="Times New Roman" w:hAnsi="Times New Roman" w:eastAsia="方正仿宋_GBK" w:cs="Times New Roman"/>
          <w:color w:val="auto"/>
          <w:sz w:val="32"/>
          <w:szCs w:val="32"/>
          <w:highlight w:val="none"/>
        </w:rPr>
      </w:pPr>
      <w:r>
        <w:rPr>
          <w:rFonts w:ascii="Times New Roman" w:hAnsi="Times New Roman" w:eastAsia="方正仿宋_GBK" w:cs="Times New Roman"/>
          <w:color w:val="000000" w:themeColor="text1"/>
          <w:sz w:val="32"/>
          <w:szCs w:val="32"/>
          <w:highlight w:val="none"/>
          <w14:textFill>
            <w14:solidFill>
              <w14:schemeClr w14:val="tx1"/>
            </w14:solidFill>
          </w14:textFill>
        </w:rPr>
        <w:t>——储能。</w:t>
      </w:r>
      <w:r>
        <w:rPr>
          <w:rFonts w:hint="default" w:ascii="Times New Roman" w:hAnsi="Times New Roman" w:eastAsia="方正仿宋_GBK" w:cs="Times New Roman"/>
          <w:color w:val="auto"/>
          <w:sz w:val="32"/>
          <w:szCs w:val="32"/>
          <w:highlight w:val="none"/>
          <w:u w:val="none"/>
          <w:lang w:val="en-US" w:eastAsia="zh-CN"/>
        </w:rPr>
        <w:t>依托现有电芯、PACK封装产业基础，加快向储能系统集成、设计运维、工程服务等下游环节延伸，重点跟进大型电网侧储能电站及系统集成制造基地建设，培育本土储能集成商和运维服务商，推动“光伏+储能”深度融合发展。鼓励新型锂电池技术研发应用，加快钠离子电池产业化进程，前瞻布局固态电池储能前沿赛道，积极招引隔膜等核心材料企业，同步完善电池管理系统、储能变流器、能量管理系统等电控设备配套，加快全产业链培育。</w:t>
      </w:r>
    </w:p>
    <w:p w14:paraId="6D98F229">
      <w:pPr>
        <w:keepNext w:val="0"/>
        <w:keepLines w:val="0"/>
        <w:pageBreakBefore w:val="0"/>
        <w:numPr>
          <w:ilvl w:val="0"/>
          <w:numId w:val="0"/>
        </w:numPr>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ascii="Times New Roman" w:hAnsi="Times New Roman" w:eastAsia="方正仿宋_GBK" w:cs="Times New Roman"/>
          <w:color w:val="000000" w:themeColor="text1"/>
          <w:sz w:val="32"/>
          <w:szCs w:val="32"/>
          <w:highlight w:val="none"/>
          <w14:textFill>
            <w14:solidFill>
              <w14:schemeClr w14:val="tx1"/>
            </w14:solidFill>
          </w14:textFill>
        </w:rPr>
        <w:t>——场景应用。</w:t>
      </w:r>
      <w:r>
        <w:rPr>
          <w:rFonts w:hint="default" w:ascii="Times New Roman" w:hAnsi="Times New Roman" w:eastAsia="方正仿宋_GBK" w:cs="Times New Roman"/>
          <w:color w:val="auto"/>
          <w:sz w:val="32"/>
          <w:szCs w:val="32"/>
          <w:highlight w:val="none"/>
          <w:lang w:val="en-US" w:eastAsia="zh-CN"/>
        </w:rPr>
        <w:t>加强</w:t>
      </w:r>
      <w:r>
        <w:rPr>
          <w:rFonts w:hint="eastAsia" w:ascii="Times New Roman" w:hAnsi="Times New Roman" w:eastAsia="方正仿宋_GBK" w:cs="Times New Roman"/>
          <w:color w:val="auto"/>
          <w:sz w:val="32"/>
          <w:szCs w:val="32"/>
          <w:highlight w:val="none"/>
          <w:lang w:val="en-US" w:eastAsia="zh-CN"/>
        </w:rPr>
        <w:t>与</w:t>
      </w:r>
      <w:r>
        <w:rPr>
          <w:rFonts w:hint="default" w:ascii="Times New Roman" w:hAnsi="Times New Roman" w:eastAsia="方正仿宋_GBK" w:cs="Times New Roman"/>
          <w:color w:val="auto"/>
          <w:sz w:val="32"/>
          <w:szCs w:val="32"/>
          <w:highlight w:val="none"/>
          <w:lang w:val="en-US" w:eastAsia="zh-CN"/>
        </w:rPr>
        <w:t>央企开发合作，</w:t>
      </w:r>
      <w:r>
        <w:rPr>
          <w:rFonts w:hint="eastAsia" w:ascii="Times New Roman" w:hAnsi="Times New Roman" w:eastAsia="方正仿宋_GBK" w:cs="Times New Roman"/>
          <w:color w:val="auto"/>
          <w:sz w:val="32"/>
          <w:szCs w:val="32"/>
          <w:highlight w:val="none"/>
          <w:lang w:val="en-US" w:eastAsia="zh-CN"/>
        </w:rPr>
        <w:t>优先使用本地光伏产品，</w:t>
      </w:r>
      <w:r>
        <w:rPr>
          <w:rFonts w:hint="default" w:ascii="Times New Roman" w:hAnsi="Times New Roman" w:eastAsia="方正仿宋_GBK" w:cs="Times New Roman"/>
          <w:color w:val="auto"/>
          <w:sz w:val="32"/>
          <w:szCs w:val="32"/>
          <w:highlight w:val="none"/>
          <w:lang w:val="en-US" w:eastAsia="zh-CN"/>
        </w:rPr>
        <w:t>发展分布式光伏，培育清洁能源安装、运营、维护等配套产业。结合城市功能定位与园区发展，</w:t>
      </w:r>
      <w:r>
        <w:rPr>
          <w:rFonts w:hint="default" w:ascii="Times New Roman" w:hAnsi="Times New Roman" w:eastAsia="方正仿宋_GBK" w:cs="Times New Roman"/>
          <w:color w:val="auto"/>
          <w:sz w:val="32"/>
          <w:szCs w:val="32"/>
          <w:highlight w:val="none"/>
          <w:u w:val="none"/>
          <w:lang w:val="en-US" w:eastAsia="zh-CN"/>
        </w:rPr>
        <w:t>发展换电解决方案、能源管理平台等应用场景，推进工商业光储、光储充一体化、离网微电网等场景模式，积极探索虚拟电厂、智能微电网、用户侧储能等新兴业态</w:t>
      </w:r>
      <w:r>
        <w:rPr>
          <w:rFonts w:hint="default" w:ascii="Times New Roman" w:hAnsi="Times New Roman" w:eastAsia="方正仿宋_GBK" w:cs="Times New Roman"/>
          <w:color w:val="auto"/>
          <w:sz w:val="32"/>
          <w:szCs w:val="32"/>
          <w:highlight w:val="none"/>
          <w:lang w:val="en-US" w:eastAsia="zh-CN"/>
        </w:rPr>
        <w:t>，拓展新能源配储、算力配套储能等多元场景，发挥削峰填谷、应急保供、绿电消纳价值。</w:t>
      </w:r>
    </w:p>
    <w:p w14:paraId="05DB2524">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2. 新材料产业</w:t>
      </w:r>
    </w:p>
    <w:p w14:paraId="1DF2DE1C">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color w:val="000000" w:themeColor="text1"/>
          <w:sz w:val="32"/>
          <w:szCs w:val="32"/>
          <w:highlight w:val="none"/>
          <w14:textFill>
            <w14:solidFill>
              <w14:schemeClr w14:val="tx1"/>
            </w14:solidFill>
          </w14:textFill>
        </w:rPr>
        <w:t>聚焦金属材料、复合材料、</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特高压、</w:t>
      </w:r>
      <w:r>
        <w:rPr>
          <w:rFonts w:ascii="Times New Roman" w:hAnsi="Times New Roman" w:eastAsia="方正仿宋_GBK" w:cs="Times New Roman"/>
          <w:color w:val="000000" w:themeColor="text1"/>
          <w:sz w:val="32"/>
          <w:szCs w:val="32"/>
          <w:highlight w:val="none"/>
          <w14:textFill>
            <w14:solidFill>
              <w14:schemeClr w14:val="tx1"/>
            </w14:solidFill>
          </w14:textFill>
        </w:rPr>
        <w:t>包装材料、新型建筑材料主要方向，</w:t>
      </w:r>
      <w:r>
        <w:rPr>
          <w:rFonts w:ascii="Times New Roman" w:hAnsi="Times New Roman" w:eastAsia="方正仿宋_GBK" w:cs="Times New Roman"/>
          <w:sz w:val="32"/>
          <w:szCs w:val="32"/>
          <w:highlight w:val="none"/>
        </w:rPr>
        <w:t>做强优势材料、补齐短板材料、攻坚“卡脖子”关键材料，发挥新材料首批次导向作用，以新材料赋能产业发展。</w:t>
      </w:r>
    </w:p>
    <w:p w14:paraId="30A2155C">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——金属材料。聚焦高端制造与国产替代，重点发展</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镍合金、</w:t>
      </w:r>
      <w:r>
        <w:rPr>
          <w:rFonts w:ascii="Times New Roman" w:hAnsi="Times New Roman" w:eastAsia="方正仿宋_GBK" w:cs="Times New Roman"/>
          <w:color w:val="000000" w:themeColor="text1"/>
          <w:sz w:val="32"/>
          <w:szCs w:val="32"/>
          <w:highlight w:val="none"/>
          <w14:textFill>
            <w14:solidFill>
              <w14:schemeClr w14:val="tx1"/>
            </w14:solidFill>
          </w14:textFill>
        </w:rPr>
        <w:t>钛合金、硬质合金、镁铝合金等先进金属材料，为国家航空航天、轻量化车身、高端装备事业输送优质原材料。做精做深不锈钢焊丝、铝合金、免冲洗CTP印刷板材、钢材精细切割等高附加值产品，提升专精特新水平。</w:t>
      </w:r>
    </w:p>
    <w:p w14:paraId="04BCFCC8">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复合材料。重点发展锦纶、帘子布系列产品，支持企业增资扩产、强化技术攻关，深化与下游头部企业合作，扩大品牌影响力，成为国内细分行业龙头企业。推广纤维塑料软管及管道修复技术，支持企业做优产品，提升市场占有率及出口份额。</w:t>
      </w:r>
    </w:p>
    <w:p w14:paraId="69E838A7">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——特高压。抢抓“十五五”期间行业发展机遇，从变压器及零配件、绝缘材料切入行业赛道，鼓励本土企业转型，扶持专精特新企业做大</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推动国产化替代进口</w:t>
      </w:r>
      <w:r>
        <w:rPr>
          <w:rFonts w:ascii="Times New Roman" w:hAnsi="Times New Roman" w:eastAsia="方正仿宋_GBK" w:cs="Times New Roman"/>
          <w:color w:val="000000" w:themeColor="text1"/>
          <w:sz w:val="32"/>
          <w:szCs w:val="32"/>
          <w:highlight w:val="none"/>
          <w14:textFill>
            <w14:solidFill>
              <w14:schemeClr w14:val="tx1"/>
            </w14:solidFill>
          </w14:textFill>
        </w:rPr>
        <w:t>。通过“以商引商”等方式，招引金属材料、电气设备、电子元件等核心零部件企业，打造县域特色产业。</w:t>
      </w:r>
    </w:p>
    <w:p w14:paraId="68C2B227">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包装材料。优先发展食品包装材料，做优做强柔性液体包装、无菌保鲜袋、铝制易拉罐等现有产品，鼓励企业在产品设计、技术工艺、材料研发等方面加大投入，进一步提升产品性能、拓展产业门类、扩大生产规模。紧抓“绿色包装”发展趋势，布局生物基可降解、植物新型、可循环包装材料等细分产业。</w:t>
      </w:r>
    </w:p>
    <w:p w14:paraId="10396959">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——新型建筑材料。鼓励传统混凝土、水泥制品、预拌砂浆、钢结构件企业转型升级，大力推广绿色建材产品，发</w:t>
      </w:r>
      <w:r>
        <w:rPr>
          <w:rFonts w:ascii="Times New Roman" w:hAnsi="Times New Roman" w:eastAsia="方正仿宋_GBK" w:cs="Times New Roman"/>
          <w:color w:val="000000" w:themeColor="text1"/>
          <w:sz w:val="32"/>
          <w:szCs w:val="32"/>
          <w:highlight w:val="none"/>
          <w14:textFill>
            <w14:solidFill>
              <w14:schemeClr w14:val="tx1"/>
            </w14:solidFill>
          </w14:textFill>
        </w:rPr>
        <w:t>展装配式绿色建筑构件、</w:t>
      </w:r>
      <w:r>
        <w:rPr>
          <w:rFonts w:ascii="Times New Roman" w:hAnsi="Times New Roman" w:eastAsia="方正仿宋_GBK" w:cs="Times New Roman"/>
          <w:color w:val="000000" w:themeColor="text1"/>
          <w:sz w:val="32"/>
          <w:szCs w:val="32"/>
          <w:highlight w:val="none"/>
          <w14:textFill>
            <w14:solidFill>
              <w14:schemeClr w14:val="tx1"/>
            </w14:solidFill>
          </w14:textFill>
        </w:rPr>
        <w:t>高性能隔热保温材料、新型防水防渗材料。</w:t>
      </w:r>
    </w:p>
    <w:p w14:paraId="058B3362">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3. 汽车（摩托车、电动车）零部件产业</w:t>
      </w:r>
    </w:p>
    <w:p w14:paraId="483EE4FB">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顺应汽车电动化、智能化、轻量化发展趋势，推动传统零部件企业转型升级，深度融入头部车企供应体系。重点发展摩托车、特种车辆，围绕核心零部件领域，完善本地配套供给能力。结合短途出行、绿色通勤市场需求，擦亮海陵“车件之乡”品牌，聚焦骑行装备等新兴消费领域，开拓产业增量赛道。</w:t>
      </w:r>
    </w:p>
    <w:p w14:paraId="2FE35BBC">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汽车零部件。深化与宝马、奔驰、上汽、一汽等知名车企配套，提升转向器、齿轮、内饰件等核心零部件市占率，培育国家级专精特新“小巨人”企业及制造业单项冠军企业。抢抓新能源汽车发展机遇，强化与比亚迪、蔚来等新能源车企协作，大力发展差速器、驱动电机及零部件、传感器、控制器、车用空调压缩机、动力电池箱体等零部件，打造省级特色中小企业产业集群。</w:t>
      </w:r>
    </w:p>
    <w:p w14:paraId="4042FA03">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——摩托车、特种车。重点发展50cc</w:t>
      </w:r>
      <w:r>
        <w:rPr>
          <w:rFonts w:ascii="Times New Roman" w:hAnsi="Times New Roman" w:eastAsia="宋体" w:cs="Times New Roman"/>
          <w:color w:val="000000" w:themeColor="text1"/>
          <w:sz w:val="32"/>
          <w:szCs w:val="32"/>
          <w:highlight w:val="none"/>
          <w14:textFill>
            <w14:solidFill>
              <w14:schemeClr w14:val="tx1"/>
            </w14:solidFill>
          </w14:textFill>
        </w:rPr>
        <w:t>～</w:t>
      </w:r>
      <w:r>
        <w:rPr>
          <w:rFonts w:ascii="Times New Roman" w:hAnsi="Times New Roman" w:eastAsia="方正仿宋_GBK" w:cs="Times New Roman"/>
          <w:color w:val="000000" w:themeColor="text1"/>
          <w:sz w:val="32"/>
          <w:szCs w:val="32"/>
          <w:highlight w:val="none"/>
          <w14:textFill>
            <w14:solidFill>
              <w14:schemeClr w14:val="tx1"/>
            </w14:solidFill>
          </w14:textFill>
        </w:rPr>
        <w:t>500cc</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排量</w:t>
      </w:r>
      <w:r>
        <w:rPr>
          <w:rFonts w:ascii="Times New Roman" w:hAnsi="Times New Roman" w:eastAsia="方正仿宋_GBK" w:cs="Times New Roman"/>
          <w:color w:val="000000" w:themeColor="text1"/>
          <w:sz w:val="32"/>
          <w:szCs w:val="32"/>
          <w:highlight w:val="none"/>
          <w14:textFill>
            <w14:solidFill>
              <w14:schemeClr w14:val="tx1"/>
            </w14:solidFill>
          </w14:textFill>
        </w:rPr>
        <w:t>摩托车</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、高性能电摩</w:t>
      </w:r>
      <w:r>
        <w:rPr>
          <w:rFonts w:ascii="Times New Roman" w:hAnsi="Times New Roman" w:eastAsia="方正仿宋_GBK" w:cs="Times New Roman"/>
          <w:color w:val="000000" w:themeColor="text1"/>
          <w:sz w:val="32"/>
          <w:szCs w:val="32"/>
          <w:highlight w:val="none"/>
          <w14:textFill>
            <w14:solidFill>
              <w14:schemeClr w14:val="tx1"/>
            </w14:solidFill>
          </w14:textFill>
        </w:rPr>
        <w:t>，支持本土企业做大曲轴、消音器、减震器、车架、把手、轮毂等核心零部件，提高</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与头部企业</w:t>
      </w:r>
      <w:r>
        <w:rPr>
          <w:rFonts w:ascii="Times New Roman" w:hAnsi="Times New Roman" w:eastAsia="方正仿宋_GBK" w:cs="Times New Roman"/>
          <w:color w:val="000000" w:themeColor="text1"/>
          <w:sz w:val="32"/>
          <w:szCs w:val="32"/>
          <w:highlight w:val="none"/>
          <w14:textFill>
            <w14:solidFill>
              <w14:schemeClr w14:val="tx1"/>
            </w14:solidFill>
          </w14:textFill>
        </w:rPr>
        <w:t>配套率。招引发动机、变速箱、仪表、灯光、线束等企业落户，打造摩托车</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核心零部件产业</w:t>
      </w:r>
      <w:r>
        <w:rPr>
          <w:rFonts w:ascii="Times New Roman" w:hAnsi="Times New Roman" w:eastAsia="方正仿宋_GBK" w:cs="Times New Roman"/>
          <w:color w:val="000000" w:themeColor="text1"/>
          <w:sz w:val="32"/>
          <w:szCs w:val="32"/>
          <w:highlight w:val="none"/>
          <w14:textFill>
            <w14:solidFill>
              <w14:schemeClr w14:val="tx1"/>
            </w14:solidFill>
          </w14:textFill>
        </w:rPr>
        <w:t>。发展300cc</w:t>
      </w:r>
      <w:r>
        <w:rPr>
          <w:rFonts w:ascii="Times New Roman" w:hAnsi="Times New Roman" w:eastAsia="宋体" w:cs="Times New Roman"/>
          <w:color w:val="000000" w:themeColor="text1"/>
          <w:sz w:val="32"/>
          <w:szCs w:val="32"/>
          <w:highlight w:val="none"/>
          <w14:textFill>
            <w14:solidFill>
              <w14:schemeClr w14:val="tx1"/>
            </w14:solidFill>
          </w14:textFill>
        </w:rPr>
        <w:t>～</w:t>
      </w:r>
      <w:r>
        <w:rPr>
          <w:rFonts w:ascii="Times New Roman" w:hAnsi="Times New Roman" w:eastAsia="方正仿宋_GBK" w:cs="Times New Roman"/>
          <w:color w:val="000000" w:themeColor="text1"/>
          <w:sz w:val="32"/>
          <w:szCs w:val="32"/>
          <w:highlight w:val="none"/>
          <w14:textFill>
            <w14:solidFill>
              <w14:schemeClr w14:val="tx1"/>
            </w14:solidFill>
          </w14:textFill>
        </w:rPr>
        <w:t>1000cc</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排量</w:t>
      </w:r>
      <w:r>
        <w:rPr>
          <w:rFonts w:ascii="Times New Roman" w:hAnsi="Times New Roman" w:eastAsia="方正仿宋_GBK" w:cs="Times New Roman"/>
          <w:color w:val="000000" w:themeColor="text1"/>
          <w:sz w:val="32"/>
          <w:szCs w:val="32"/>
          <w:highlight w:val="none"/>
          <w14:textFill>
            <w14:solidFill>
              <w14:schemeClr w14:val="tx1"/>
            </w14:solidFill>
          </w14:textFill>
        </w:rPr>
        <w:t>ATV、UTV特种车辆，鼓励企业加大出口份额，迭代升级森林消防、应急救援、矿区园区专用全地形车。</w:t>
      </w:r>
    </w:p>
    <w:p w14:paraId="647E2033">
      <w:pPr>
        <w:spacing w:line="600" w:lineRule="exact"/>
        <w:ind w:firstLine="640" w:firstLineChars="200"/>
        <w:jc w:val="both"/>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——电动车零部件。擦亮海陵区“中国车件之乡”的产业名片，鼓励支持本土企业转型升级、增资扩产，提升毂闸、车架、减震、轮毂、把手等核心零部件竞争优势，</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聚焦整车、电机、电控系统招引龙头企业，健全产业链。</w:t>
      </w:r>
      <w:r>
        <w:rPr>
          <w:rFonts w:ascii="Times New Roman" w:hAnsi="Times New Roman" w:eastAsia="方正仿宋_GBK" w:cs="Times New Roman"/>
          <w:color w:val="000000" w:themeColor="text1"/>
          <w:sz w:val="32"/>
          <w:szCs w:val="32"/>
          <w:highlight w:val="none"/>
          <w14:textFill>
            <w14:solidFill>
              <w14:schemeClr w14:val="tx1"/>
            </w14:solidFill>
          </w14:textFill>
        </w:rPr>
        <w:t>发展鞋服、头盔、手套、眼镜等骑行装备产品，拓展产业增量赛道</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w:t>
      </w:r>
    </w:p>
    <w:p w14:paraId="55A63FEF">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4. 智慧家电产业</w:t>
      </w:r>
    </w:p>
    <w:p w14:paraId="65EF93E1">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持续提升冰箱核心产业优势，放大链主企业辐射带动作用，打造特色产业园，推动配套企业多元化发展。抢抓家电升级、以旧换新等鼓励消费政策窗口，发展空调、小家电产业，提升产业厚度。依托头部企业，加速核心零部件企业集聚，聚焦厨卫、家居、个护等消费领域，补齐本地家电配套链条。</w:t>
      </w:r>
    </w:p>
    <w:p w14:paraId="330919B2">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——冰箱。支持链主企业乐金电子加大智能化改造升级投入，持续引进LG高端豪华冰箱及新能源车载冰箱</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压缩机等</w:t>
      </w:r>
      <w:r>
        <w:rPr>
          <w:rFonts w:ascii="Times New Roman" w:hAnsi="Times New Roman" w:eastAsia="方正仿宋_GBK" w:cs="Times New Roman"/>
          <w:color w:val="000000" w:themeColor="text1"/>
          <w:sz w:val="32"/>
          <w:szCs w:val="32"/>
          <w:highlight w:val="none"/>
          <w14:textFill>
            <w14:solidFill>
              <w14:schemeClr w14:val="tx1"/>
            </w14:solidFill>
          </w14:textFill>
        </w:rPr>
        <w:t>前沿产品，围绕乐金电子打造智慧家电产业园，支持本土企业增资扩产入园、招引产业链企业配套入园，巩固LG全球最大冰箱生产基地地位。鼓励本土配套企业</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加强技术攻关，实现中小型冰箱生产能力</w:t>
      </w:r>
      <w:r>
        <w:rPr>
          <w:rFonts w:ascii="Times New Roman" w:hAnsi="Times New Roman" w:eastAsia="方正仿宋_GBK" w:cs="Times New Roman"/>
          <w:color w:val="000000" w:themeColor="text1"/>
          <w:sz w:val="32"/>
          <w:szCs w:val="32"/>
          <w:highlight w:val="none"/>
          <w14:textFill>
            <w14:solidFill>
              <w14:schemeClr w14:val="tx1"/>
            </w14:solidFill>
          </w14:textFill>
        </w:rPr>
        <w:t>，从单一配套向多元化发展转型。</w:t>
      </w:r>
    </w:p>
    <w:p w14:paraId="7F2B9E46">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空调。重点发展家用、商用、车用空调，工业机柜空调，恒温恒湿机，进一步推动制冷设备在国家机电、电力、通讯等重要行业领域的应用。围绕本土头部企业，加速压缩机、冷凝器、电控系统等核心零部件企业集聚，支持产业链本土企业结合自身产品及技术优势，强化与头部企业合作，实现产业链本地配套。</w:t>
      </w:r>
    </w:p>
    <w:p w14:paraId="4763D0C0">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小家电。围绕行业头部企业，积极招引厨卫类（电饭煲、洗碗机、咖啡机等）、家居类（洗地机、扫地机、净化器等）和护理类（剃须刀、牙刷、吹风机等）等契合大众消费需求的智能家电企业，构建品类丰富、结构完善的智能小家电产业生态体系。</w:t>
      </w:r>
    </w:p>
    <w:p w14:paraId="5B4C3030">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5. 智能家居产业</w:t>
      </w:r>
    </w:p>
    <w:p w14:paraId="14E1847F">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放大省级特色中小企业产业集群效应，做强多功能沙发、曲木家具等拳头产品，发展个性化定制、家居系统集成，推动产业向定制化、智能化、高端化升级。聚焦智能生态终端，布局高端设备、智能设备产业，丰富智能终端产品供给，构建全域互联产业生态体。</w:t>
      </w:r>
    </w:p>
    <w:p w14:paraId="2AA4B48F">
      <w:pPr>
        <w:adjustRightInd w:val="0"/>
        <w:snapToGrid w:val="0"/>
        <w:spacing w:line="600" w:lineRule="exact"/>
        <w:ind w:firstLine="640" w:firstLineChars="200"/>
        <w:jc w:val="both"/>
        <w:rPr>
          <w:rFonts w:ascii="Times New Roman" w:hAnsi="Times New Roman" w:eastAsia="方正仿宋_GBK" w:cs="Times New Roman"/>
          <w:color w:val="000000" w:themeColor="text1"/>
          <w:sz w:val="32"/>
          <w:szCs w:val="32"/>
          <w:highlight w:val="none"/>
          <w:lang w:bidi="ar"/>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——多功能沙发。发挥与头部企业合作优势，健全铁架、电机、推杆、面料等核心零部件产品，支持企业优化产品设计，开发</w:t>
      </w:r>
      <w:r>
        <w:rPr>
          <w:rFonts w:ascii="Times New Roman" w:hAnsi="Times New Roman" w:eastAsia="方正仿宋_GBK" w:cs="Times New Roman"/>
          <w:color w:val="000000" w:themeColor="text1"/>
          <w:sz w:val="32"/>
          <w:szCs w:val="32"/>
          <w:highlight w:val="none"/>
          <w:lang w:bidi="ar"/>
          <w14:textFill>
            <w14:solidFill>
              <w14:schemeClr w14:val="tx1"/>
            </w14:solidFill>
          </w14:textFill>
        </w:rPr>
        <w:t>定制化、适老化、环境智能等高附加值产品，加快塑造自身品牌优势。</w:t>
      </w:r>
      <w:r>
        <w:rPr>
          <w:rFonts w:ascii="Times New Roman" w:hAnsi="Times New Roman" w:eastAsia="方正仿宋_GBK" w:cs="Times New Roman"/>
          <w:color w:val="000000" w:themeColor="text1"/>
          <w:sz w:val="32"/>
          <w:szCs w:val="32"/>
          <w:highlight w:val="none"/>
          <w14:textFill>
            <w14:solidFill>
              <w14:schemeClr w14:val="tx1"/>
            </w14:solidFill>
          </w14:textFill>
        </w:rPr>
        <w:t>发展基于5G、物联网、云计算等新一代信息技术的终端产品，搭载感应控制、语音控制等技术手段应用，构建智能物联产业生态</w:t>
      </w:r>
      <w:r>
        <w:rPr>
          <w:rFonts w:ascii="Times New Roman" w:hAnsi="Times New Roman" w:eastAsia="方正仿宋_GBK" w:cs="Times New Roman"/>
          <w:color w:val="000000" w:themeColor="text1"/>
          <w:sz w:val="32"/>
          <w:szCs w:val="32"/>
          <w:highlight w:val="none"/>
          <w:lang w:bidi="ar"/>
          <w14:textFill>
            <w14:solidFill>
              <w14:schemeClr w14:val="tx1"/>
            </w14:solidFill>
          </w14:textFill>
        </w:rPr>
        <w:t>。</w:t>
      </w:r>
    </w:p>
    <w:p w14:paraId="0BAFA32D">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曲木家具。鼓励企业聚焦中高端定制与设计研发，健全数码配件、家居收纳、桌椅、儿童等产品种类，开发符合人体工学、兼具美学与功能性的曲木家具，深度融入宜家、无印良品等头部零售企业供应体系。支持企业推广柔性自动化产线，建设数字化管理平台，实现小批量、多品种的定制化生产，推动传统弯曲木工艺与现代智能制造深度融合。</w:t>
      </w:r>
    </w:p>
    <w:p w14:paraId="6C13A4ED">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智能生态。围绕消费智能终端、智慧出行设备、服务机器人等多元产品体系，招引相关企业落户，联动基础电信服务商、互联网应用商、云服务平台集成商等，输出智能家居整体解决方案。抢抓“AI+可穿戴设备”风口，布局AI眼镜、智能手环、智能手表、智能耳机</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产业，打造硬件+算法+健康服务的融合生态。</w:t>
      </w:r>
    </w:p>
    <w:p w14:paraId="48AAFF0D">
      <w:p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6. 数字经济产业</w:t>
      </w:r>
    </w:p>
    <w:p w14:paraId="63075F60">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围绕电子信息、网络数据安全、半导体封装材料、低空装备等领域，纵深推进数字产品制造、数字产品服务、数字技术应用、数字要素驱动发展，依托三大运营商及国有数产企业，加大在算力、数据资源等领域的布局力度，构筑数字经济产业生态，激发数实融合新动能。</w:t>
      </w:r>
    </w:p>
    <w:p w14:paraId="2CE2D4EC">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电子信息。在智能制造、电子传感生产端重点发展芯片、电路板、控制器、传感器、显示器、电机等关键零部件；在语音识别、图像识别、人机交互控制端重点发展声学模组、光学模组、高清镜头、精密结构件等重要零部件，以电子信息产业赋能智慧家电、智能家居产业，实现产业同频共振。布局电脑、手机等数码产品零配件产业，推广红外热成像技术，打造红外机芯产品矩阵，推动电子信息产业在汽车电子、通信设备、物联网等重要领域应用。</w:t>
      </w:r>
    </w:p>
    <w:p w14:paraId="150F1C8E">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网络数据安全。强化与国产算力芯片头部厂商合作，依托嵌入式设计、可信计算、密码保护等核心技术，构建计算机平台、加密卡、网络隔离、主机加固、内网安全监测、EMS能源管理系统、数字化仓储管理等解决方案。推广网络数据安全在综合能源管理、工业信息安全、智能制造服务、物联网等领域应用，筑牢网络安全与数据安全防线。</w:t>
      </w:r>
    </w:p>
    <w:p w14:paraId="7FC73D9D">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——半导体封装材料。重点发展环氧塑封料细分产业，支持企业加大产品研发、技术迭代，以国产替代打破进口垄断。聚焦行业龙头，招引封装基板、引线框架、键合丝等核心材料企业，健全产业链条。</w:t>
      </w:r>
    </w:p>
    <w:p w14:paraId="19939B8F">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——低空装备。围绕eVTOL（电动垂直起降飞行器）、无人机方向，招引整机制造企业，重点引进和培育飞控系统、航电系统、轻量化结构件等关键零部件企业，</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支持本地曲轴等零部件企业转型升级，</w:t>
      </w:r>
      <w:r>
        <w:rPr>
          <w:rFonts w:ascii="Times New Roman" w:hAnsi="Times New Roman" w:eastAsia="方正仿宋_GBK" w:cs="Times New Roman"/>
          <w:color w:val="000000" w:themeColor="text1"/>
          <w:sz w:val="32"/>
          <w:szCs w:val="32"/>
          <w:highlight w:val="none"/>
          <w14:textFill>
            <w14:solidFill>
              <w14:schemeClr w14:val="tx1"/>
            </w14:solidFill>
          </w14:textFill>
        </w:rPr>
        <w:t>引导</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本地</w:t>
      </w:r>
      <w:r>
        <w:rPr>
          <w:rFonts w:ascii="Times New Roman" w:hAnsi="Times New Roman" w:eastAsia="方正仿宋_GBK" w:cs="Times New Roman"/>
          <w:color w:val="000000" w:themeColor="text1"/>
          <w:sz w:val="32"/>
          <w:szCs w:val="32"/>
          <w:highlight w:val="none"/>
          <w14:textFill>
            <w14:solidFill>
              <w14:schemeClr w14:val="tx1"/>
            </w14:solidFill>
          </w14:textFill>
        </w:rPr>
        <w:t>装备制造、电子信息、</w:t>
      </w:r>
      <w:r>
        <w:rPr>
          <w:rFonts w:ascii="Times New Roman" w:hAnsi="Times New Roman" w:eastAsia="方正仿宋_GBK" w:cs="Times New Roman"/>
          <w:color w:val="000000" w:themeColor="text1"/>
          <w:sz w:val="32"/>
          <w:szCs w:val="32"/>
          <w:highlight w:val="none"/>
          <w14:textFill>
            <w14:solidFill>
              <w14:schemeClr w14:val="tx1"/>
            </w14:solidFill>
          </w14:textFill>
        </w:rPr>
        <w:t>储能电池</w:t>
      </w:r>
      <w:r>
        <w:rPr>
          <w:rFonts w:ascii="Times New Roman" w:hAnsi="Times New Roman" w:eastAsia="方正仿宋_GBK" w:cs="Times New Roman"/>
          <w:color w:val="000000" w:themeColor="text1"/>
          <w:sz w:val="32"/>
          <w:szCs w:val="32"/>
          <w:highlight w:val="none"/>
          <w14:textFill>
            <w14:solidFill>
              <w14:schemeClr w14:val="tx1"/>
            </w14:solidFill>
          </w14:textFill>
        </w:rPr>
        <w:t>企业向低空领域延伸，支持企业开展无人机配套产品研发制造，提升本地配套生产能力，推广低空装备在农业、文旅、物流等场景应用。</w:t>
      </w:r>
    </w:p>
    <w:p w14:paraId="4EC3899A">
      <w:pPr>
        <w:numPr>
          <w:ilvl w:val="0"/>
          <w:numId w:val="1"/>
        </w:numPr>
        <w:spacing w:line="600" w:lineRule="exact"/>
        <w:ind w:firstLine="640" w:firstLineChars="200"/>
        <w:jc w:val="both"/>
        <w:rPr>
          <w:rFonts w:ascii="Times New Roman" w:hAnsi="Times New Roman" w:eastAsia="楷体_GB2312"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未来产业</w:t>
      </w:r>
    </w:p>
    <w:p w14:paraId="566D963E">
      <w:pPr>
        <w:keepNext w:val="0"/>
        <w:keepLines w:val="0"/>
        <w:pageBreakBefore w:val="0"/>
        <w:numPr>
          <w:ilvl w:val="0"/>
          <w:numId w:val="0"/>
        </w:numPr>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楷体_GB2312" w:cs="Times New Roman"/>
          <w:color w:val="auto"/>
          <w:sz w:val="32"/>
          <w:szCs w:val="32"/>
          <w:highlight w:val="none"/>
          <w:u w:val="single"/>
          <w:lang w:val="en-US" w:eastAsia="zh-CN"/>
        </w:rPr>
      </w:pPr>
      <w:r>
        <w:rPr>
          <w:rFonts w:hint="default" w:ascii="Times New Roman" w:hAnsi="Times New Roman" w:eastAsia="方正仿宋_GBK" w:cs="Times New Roman"/>
          <w:color w:val="auto"/>
          <w:sz w:val="32"/>
          <w:szCs w:val="32"/>
          <w:highlight w:val="none"/>
          <w:lang w:val="en-US" w:eastAsia="zh-CN"/>
        </w:rPr>
        <w:t>构建未来产业全链条培育体系，重点突破具身智能、第六代移动通信（6G）。强化基础研究与原始创新，布局概念验证中心和联合攻关载体</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推动创新成果加速从实验室走向产业化应用。依托“新车智数”基础争创未来产业相关先导节点，构建“技术攻关—场景示范—产业培育”体系，促进未来产业与新兴产业深度耦合、融通发展。</w:t>
      </w:r>
    </w:p>
    <w:p w14:paraId="5B71ED5D">
      <w:pPr>
        <w:keepNext w:val="0"/>
        <w:keepLines w:val="0"/>
        <w:pageBreakBefore w:val="0"/>
        <w:numPr>
          <w:ilvl w:val="0"/>
          <w:numId w:val="0"/>
        </w:numPr>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_GBK" w:cs="Times New Roman"/>
          <w:color w:val="auto"/>
          <w:sz w:val="32"/>
          <w:szCs w:val="32"/>
          <w:highlight w:val="none"/>
          <w:u w:val="single"/>
          <w:lang w:val="en-US" w:eastAsia="zh-CN"/>
        </w:rPr>
      </w:pPr>
      <w:r>
        <w:rPr>
          <w:rFonts w:hint="default" w:ascii="Times New Roman" w:hAnsi="Times New Roman" w:eastAsia="方正仿宋_GBK" w:cs="Times New Roman"/>
          <w:color w:val="auto"/>
          <w:sz w:val="32"/>
          <w:szCs w:val="32"/>
          <w:highlight w:val="none"/>
          <w:lang w:val="en-US" w:eastAsia="zh-CN"/>
        </w:rPr>
        <w:t>——具身智能。引导企业精准研判具身智能产品特点与市场需求，推动现有压铸、电机、红外等技术向机器人及无人系统迁移转化。推动铝镁合金压铸向机器人轻量化机身及结构件升级，工业驱动电机向高功密度伺服电机、无框力矩电机延伸，红外成像向环境感知与智能识别系统拓展。做强轻量化结构件、关节电机、视觉感知等核心零部件，布局实训场与工业、服务、低空示范场景，构建“结构件—电机驱动—智能感知—本体集成”产业体系。</w:t>
      </w:r>
    </w:p>
    <w:p w14:paraId="4BE21A6B">
      <w:pPr>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6G通信。以5G-A连续覆盖、算力网络和安全产业为基础，适度超前跟踪6G标准与试验。推动高端封装材料、高频高速印制电路、光通信配套器件向6G上游延伸；布局工业互联网安全、6G内生安全、零信任与主动防御，强化工控和通感智算安全；依托基础电信算力，在工业互联网、低空经济、智能网联汽车开展5G-A场景验证，为6G通感一体、无蜂窝组网积累经验。建立标准跟踪和概念验证机制，联合高能级平台补短板，构建“材料器件—网络安全—融合应用”配套体系。</w:t>
      </w:r>
    </w:p>
    <w:p w14:paraId="781EC6C9">
      <w:pPr>
        <w:spacing w:line="600" w:lineRule="exact"/>
        <w:ind w:firstLine="640" w:firstLineChars="200"/>
        <w:jc w:val="both"/>
        <w:rPr>
          <w:rFonts w:ascii="Times New Roman" w:hAnsi="Times New Roman" w:eastAsia="方正黑体_GBK" w:cs="Times New Roman"/>
          <w:color w:val="000000" w:themeColor="text1"/>
          <w:sz w:val="32"/>
          <w:szCs w:val="32"/>
          <w:highlight w:val="none"/>
          <w14:textFill>
            <w14:solidFill>
              <w14:schemeClr w14:val="tx1"/>
            </w14:solidFill>
          </w14:textFill>
        </w:rPr>
      </w:pPr>
      <w:r>
        <w:rPr>
          <w:rFonts w:ascii="Times New Roman" w:hAnsi="Times New Roman" w:eastAsia="方正黑体_GBK" w:cs="Times New Roman"/>
          <w:color w:val="000000" w:themeColor="text1"/>
          <w:sz w:val="32"/>
          <w:szCs w:val="32"/>
          <w:highlight w:val="none"/>
          <w14:textFill>
            <w14:solidFill>
              <w14:schemeClr w14:val="tx1"/>
            </w14:solidFill>
          </w14:textFill>
        </w:rPr>
        <w:t>五、产业布局</w:t>
      </w:r>
    </w:p>
    <w:p w14:paraId="4FBCFF96">
      <w:pPr>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持续优化完善“一轴一带两翼”发展格局，围绕传统产业焕新、新兴产业壮大、未来产业布局，海陵工业园区、海陵高新区立足资源要素整合、自身优势挖掘、产业供需联动，打破区划界限，形成主导产业集聚、特色产业鲜明、产业优势互补的发展格局，推动产业一体化、园区特色化发展。</w:t>
      </w:r>
    </w:p>
    <w:p w14:paraId="20A5ECFE">
      <w:pPr>
        <w:spacing w:line="600" w:lineRule="exact"/>
        <w:ind w:firstLine="640" w:firstLineChars="200"/>
        <w:jc w:val="both"/>
        <w:rPr>
          <w:rFonts w:ascii="Times New Roman" w:hAnsi="Times New Roman" w:eastAsia="方正仿宋_GBK" w:cs="Times New Roman"/>
          <w:b/>
          <w:bCs/>
          <w:sz w:val="32"/>
          <w:szCs w:val="32"/>
          <w:highlight w:val="none"/>
        </w:rPr>
      </w:pPr>
      <w:r>
        <w:rPr>
          <w:rFonts w:ascii="Times New Roman" w:hAnsi="Times New Roman" w:eastAsia="楷体_GB2312" w:cs="Times New Roman"/>
          <w:sz w:val="32"/>
          <w:szCs w:val="32"/>
          <w:highlight w:val="none"/>
        </w:rPr>
        <w:t>海陵工业园区</w:t>
      </w:r>
      <w:r>
        <w:rPr>
          <w:rFonts w:ascii="Times New Roman" w:hAnsi="Times New Roman" w:eastAsia="方正仿宋_GBK" w:cs="Times New Roman"/>
          <w:sz w:val="32"/>
          <w:szCs w:val="32"/>
          <w:highlight w:val="none"/>
        </w:rPr>
        <w:t>：打造智慧家电核心产业，新材料、数字经济优势产业，储能、摩托车、数控机床、纺织服装、食品加工等特色产业，构建“1+2+X”产业体系。</w:t>
      </w:r>
      <w:r>
        <w:rPr>
          <w:rFonts w:ascii="Times New Roman" w:hAnsi="Times New Roman" w:eastAsia="方正仿宋_GBK" w:cs="Times New Roman"/>
          <w:b/>
          <w:bCs/>
          <w:sz w:val="32"/>
          <w:szCs w:val="32"/>
          <w:highlight w:val="none"/>
        </w:rPr>
        <w:t>智慧家电产业</w:t>
      </w:r>
      <w:r>
        <w:rPr>
          <w:rFonts w:ascii="Times New Roman" w:hAnsi="Times New Roman" w:eastAsia="方正仿宋_GBK" w:cs="Times New Roman"/>
          <w:sz w:val="32"/>
          <w:szCs w:val="32"/>
          <w:highlight w:val="none"/>
        </w:rPr>
        <w:t>，以乐金电子为龙头，</w:t>
      </w:r>
      <w:r>
        <w:rPr>
          <w:rFonts w:ascii="Times New Roman" w:hAnsi="Times New Roman" w:eastAsia="方正仿宋_GBK" w:cs="Times New Roman"/>
          <w:color w:val="000000" w:themeColor="text1"/>
          <w:sz w:val="32"/>
          <w:szCs w:val="32"/>
          <w:highlight w:val="none"/>
          <w14:textFill>
            <w14:solidFill>
              <w14:schemeClr w14:val="tx1"/>
            </w14:solidFill>
          </w14:textFill>
        </w:rPr>
        <w:t>放大链主企业辐射带动作用，</w:t>
      </w:r>
      <w:r>
        <w:rPr>
          <w:rFonts w:ascii="Times New Roman" w:hAnsi="Times New Roman" w:eastAsia="方正仿宋_GBK" w:cs="Times New Roman"/>
          <w:sz w:val="32"/>
          <w:szCs w:val="32"/>
          <w:highlight w:val="none"/>
        </w:rPr>
        <w:t>打造智慧家电产业园，同步发展</w:t>
      </w:r>
      <w:r>
        <w:rPr>
          <w:rFonts w:ascii="Times New Roman" w:hAnsi="Times New Roman" w:eastAsia="方正仿宋_GBK" w:cs="Times New Roman"/>
          <w:color w:val="000000" w:themeColor="text1"/>
          <w:sz w:val="32"/>
          <w:szCs w:val="32"/>
          <w:highlight w:val="none"/>
          <w14:textFill>
            <w14:solidFill>
              <w14:schemeClr w14:val="tx1"/>
            </w14:solidFill>
          </w14:textFill>
        </w:rPr>
        <w:t>空调、小家电产业，提升产业厚度</w:t>
      </w:r>
      <w:r>
        <w:rPr>
          <w:rFonts w:ascii="Times New Roman" w:hAnsi="Times New Roman" w:eastAsia="方正仿宋_GBK" w:cs="Times New Roman"/>
          <w:sz w:val="32"/>
          <w:szCs w:val="32"/>
          <w:highlight w:val="none"/>
        </w:rPr>
        <w:t>。</w:t>
      </w:r>
      <w:r>
        <w:rPr>
          <w:rFonts w:ascii="Times New Roman" w:hAnsi="Times New Roman" w:eastAsia="方正仿宋_GBK" w:cs="Times New Roman"/>
          <w:b/>
          <w:bCs/>
          <w:sz w:val="32"/>
          <w:szCs w:val="32"/>
          <w:highlight w:val="none"/>
        </w:rPr>
        <w:t>新材料产业</w:t>
      </w:r>
      <w:r>
        <w:rPr>
          <w:rFonts w:ascii="Times New Roman" w:hAnsi="Times New Roman" w:eastAsia="方正仿宋_GBK" w:cs="Times New Roman"/>
          <w:sz w:val="32"/>
          <w:szCs w:val="32"/>
          <w:highlight w:val="none"/>
        </w:rPr>
        <w:t>，依托金桥焊材、金物新材料、圆睿数码、海阳科技、爱索新材料、华盛制罐、海达塑胶、裕乾包装等企业，发展</w:t>
      </w:r>
      <w:r>
        <w:rPr>
          <w:rFonts w:ascii="Times New Roman" w:hAnsi="Times New Roman" w:eastAsia="方正仿宋_GBK" w:cs="Times New Roman"/>
          <w:color w:val="000000" w:themeColor="text1"/>
          <w:sz w:val="32"/>
          <w:szCs w:val="32"/>
          <w:highlight w:val="none"/>
          <w14:textFill>
            <w14:solidFill>
              <w14:schemeClr w14:val="tx1"/>
            </w14:solidFill>
          </w14:textFill>
        </w:rPr>
        <w:t>金属材料、复合材料、包装材料等细分领域，提升产业规模。</w:t>
      </w:r>
      <w:r>
        <w:rPr>
          <w:rFonts w:ascii="Times New Roman" w:hAnsi="Times New Roman" w:eastAsia="方正仿宋_GBK" w:cs="Times New Roman"/>
          <w:b/>
          <w:bCs/>
          <w:sz w:val="32"/>
          <w:szCs w:val="32"/>
          <w:highlight w:val="none"/>
        </w:rPr>
        <w:t>数字经济产业，</w:t>
      </w:r>
      <w:r>
        <w:rPr>
          <w:rFonts w:ascii="Times New Roman" w:hAnsi="Times New Roman" w:eastAsia="方正仿宋_GBK" w:cs="Times New Roman"/>
          <w:sz w:val="32"/>
          <w:szCs w:val="32"/>
          <w:highlight w:val="none"/>
        </w:rPr>
        <w:t>围绕云涌电子健全</w:t>
      </w:r>
      <w:r>
        <w:rPr>
          <w:rFonts w:ascii="Times New Roman" w:hAnsi="Times New Roman" w:eastAsia="方正仿宋_GBK" w:cs="Times New Roman"/>
          <w:color w:val="000000" w:themeColor="text1"/>
          <w:sz w:val="32"/>
          <w:szCs w:val="32"/>
          <w:highlight w:val="none"/>
          <w14:textFill>
            <w14:solidFill>
              <w14:schemeClr w14:val="tx1"/>
            </w14:solidFill>
          </w14:textFill>
        </w:rPr>
        <w:t>网络数据安全产业，以中科科化切入半导体产业赛道，大力发展芯片、电路板、控制器、传感器关键零部件，以电子信息产业赋能智慧家电、智能家居产业。</w:t>
      </w:r>
      <w:r>
        <w:rPr>
          <w:rFonts w:ascii="Times New Roman" w:hAnsi="Times New Roman" w:eastAsia="方正仿宋_GBK" w:cs="Times New Roman"/>
          <w:b/>
          <w:bCs/>
          <w:sz w:val="32"/>
          <w:szCs w:val="32"/>
          <w:highlight w:val="none"/>
        </w:rPr>
        <w:t>储能产业，</w:t>
      </w:r>
      <w:r>
        <w:rPr>
          <w:rFonts w:ascii="Times New Roman" w:hAnsi="Times New Roman" w:eastAsia="方正仿宋_GBK" w:cs="Times New Roman"/>
          <w:color w:val="000000" w:themeColor="text1"/>
          <w:sz w:val="32"/>
          <w:szCs w:val="32"/>
          <w:highlight w:val="none"/>
          <w14:textFill>
            <w14:solidFill>
              <w14:schemeClr w14:val="tx1"/>
            </w14:solidFill>
          </w14:textFill>
        </w:rPr>
        <w:t>发挥春兰清能、智泰新能源、智慧优视、钠钠能源等领军企业技术优势，迭代新型储能技术，与高新区新能源产业形成优势互补。</w:t>
      </w:r>
      <w:r>
        <w:rPr>
          <w:rFonts w:ascii="Times New Roman" w:hAnsi="Times New Roman" w:eastAsia="方正仿宋_GBK" w:cs="Times New Roman"/>
          <w:b/>
          <w:bCs/>
          <w:sz w:val="32"/>
          <w:szCs w:val="32"/>
          <w:highlight w:val="none"/>
        </w:rPr>
        <w:t>摩托车产业，</w:t>
      </w:r>
      <w:r>
        <w:rPr>
          <w:rFonts w:ascii="Times New Roman" w:hAnsi="Times New Roman" w:eastAsia="方正仿宋_GBK" w:cs="Times New Roman"/>
          <w:sz w:val="32"/>
          <w:szCs w:val="32"/>
          <w:highlight w:val="none"/>
        </w:rPr>
        <w:t>围绕“链主”企业易行时代，加速产业链核心零部件企业集聚，提升本地供需配套能力，与</w:t>
      </w:r>
      <w:r>
        <w:rPr>
          <w:rFonts w:ascii="Times New Roman" w:hAnsi="Times New Roman" w:eastAsia="方正仿宋_GBK" w:cs="Times New Roman"/>
          <w:color w:val="000000" w:themeColor="text1"/>
          <w:sz w:val="32"/>
          <w:szCs w:val="32"/>
          <w:highlight w:val="none"/>
          <w14:textFill>
            <w14:solidFill>
              <w14:schemeClr w14:val="tx1"/>
            </w14:solidFill>
          </w14:textFill>
        </w:rPr>
        <w:t>高新区汽摩零部件产业形成协作联动。</w:t>
      </w:r>
      <w:r>
        <w:rPr>
          <w:rFonts w:ascii="Times New Roman" w:hAnsi="Times New Roman" w:eastAsia="方正仿宋_GBK" w:cs="Times New Roman"/>
          <w:b/>
          <w:bCs/>
          <w:sz w:val="32"/>
          <w:szCs w:val="32"/>
          <w:highlight w:val="none"/>
        </w:rPr>
        <w:t>数控机床</w:t>
      </w:r>
      <w:r>
        <w:rPr>
          <w:rFonts w:ascii="Times New Roman" w:hAnsi="Times New Roman" w:eastAsia="方正仿宋_GBK" w:cs="Times New Roman"/>
          <w:sz w:val="32"/>
          <w:szCs w:val="32"/>
          <w:highlight w:val="none"/>
        </w:rPr>
        <w:t>，依托冬庆数控、方正数控等企业整合现有产业基础，发展特种机床核心产品矩阵，重塑特种加工领域优势。</w:t>
      </w:r>
      <w:r>
        <w:rPr>
          <w:rFonts w:ascii="Times New Roman" w:hAnsi="Times New Roman" w:eastAsia="方正仿宋_GBK" w:cs="Times New Roman"/>
          <w:b/>
          <w:bCs/>
          <w:sz w:val="32"/>
          <w:szCs w:val="32"/>
          <w:highlight w:val="none"/>
        </w:rPr>
        <w:t>纺织服装，</w:t>
      </w:r>
      <w:r>
        <w:rPr>
          <w:rFonts w:ascii="Times New Roman" w:hAnsi="Times New Roman" w:eastAsia="方正仿宋_GBK" w:cs="Times New Roman"/>
          <w:sz w:val="32"/>
          <w:szCs w:val="32"/>
          <w:highlight w:val="none"/>
        </w:rPr>
        <w:t>鼓励舜光、天利等传统加工企业提升工业设计能力，以文化创造力为核心构建品牌叙事体系。聚焦骑行装备，开拓增量赛道。</w:t>
      </w:r>
      <w:r>
        <w:rPr>
          <w:rFonts w:ascii="Times New Roman" w:hAnsi="Times New Roman" w:eastAsia="方正仿宋_GBK" w:cs="Times New Roman"/>
          <w:b/>
          <w:bCs/>
          <w:sz w:val="32"/>
          <w:szCs w:val="32"/>
          <w:highlight w:val="none"/>
        </w:rPr>
        <w:t>食品加工，</w:t>
      </w:r>
      <w:r>
        <w:rPr>
          <w:rFonts w:ascii="Times New Roman" w:hAnsi="Times New Roman" w:eastAsia="方正仿宋_GBK" w:cs="Times New Roman"/>
          <w:sz w:val="32"/>
          <w:szCs w:val="32"/>
          <w:highlight w:val="none"/>
        </w:rPr>
        <w:t>联动华港镇、红旗街道发展生物饲料、</w:t>
      </w:r>
      <w:r>
        <w:rPr>
          <w:rFonts w:hint="eastAsia" w:ascii="Times New Roman" w:hAnsi="Times New Roman" w:eastAsia="方正仿宋_GBK" w:cs="Times New Roman"/>
          <w:sz w:val="32"/>
          <w:szCs w:val="32"/>
          <w:highlight w:val="none"/>
          <w:lang w:val="en-US" w:eastAsia="zh-CN"/>
        </w:rPr>
        <w:t>早茶面点、</w:t>
      </w:r>
      <w:r>
        <w:rPr>
          <w:rFonts w:ascii="Times New Roman" w:hAnsi="Times New Roman" w:eastAsia="方正仿宋_GBK" w:cs="Times New Roman"/>
          <w:sz w:val="32"/>
          <w:szCs w:val="32"/>
          <w:highlight w:val="none"/>
        </w:rPr>
        <w:t>特色农产品加工产业。</w:t>
      </w:r>
    </w:p>
    <w:p w14:paraId="5E3E8EB0">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sz w:val="32"/>
          <w:szCs w:val="32"/>
          <w:highlight w:val="none"/>
        </w:rPr>
        <w:t>海陵高新区</w:t>
      </w:r>
      <w:r>
        <w:rPr>
          <w:rFonts w:ascii="Times New Roman" w:hAnsi="Times New Roman" w:eastAsia="方正仿宋_GBK" w:cs="Times New Roman"/>
          <w:sz w:val="32"/>
          <w:szCs w:val="32"/>
          <w:highlight w:val="none"/>
        </w:rPr>
        <w:t>：打造新能源核心产业，汽摩零部件、智能家居优势产业，</w:t>
      </w:r>
      <w:r>
        <w:rPr>
          <w:rFonts w:hint="eastAsia" w:ascii="Times New Roman" w:hAnsi="Times New Roman" w:eastAsia="方正仿宋_GBK" w:cs="Times New Roman"/>
          <w:sz w:val="32"/>
          <w:szCs w:val="32"/>
          <w:highlight w:val="none"/>
          <w:lang w:val="en-US" w:eastAsia="zh-CN"/>
        </w:rPr>
        <w:t>特高压、</w:t>
      </w:r>
      <w:r>
        <w:rPr>
          <w:rFonts w:ascii="Times New Roman" w:hAnsi="Times New Roman" w:eastAsia="方正仿宋_GBK" w:cs="Times New Roman"/>
          <w:sz w:val="32"/>
          <w:szCs w:val="32"/>
          <w:highlight w:val="none"/>
        </w:rPr>
        <w:t>农机装备、手机数码等特色产业，构建“1+2+X”产业体系。</w:t>
      </w:r>
      <w:r>
        <w:rPr>
          <w:rFonts w:ascii="Times New Roman" w:hAnsi="Times New Roman" w:eastAsia="方正仿宋_GBK" w:cs="Times New Roman"/>
          <w:b/>
          <w:bCs/>
          <w:sz w:val="32"/>
          <w:szCs w:val="32"/>
          <w:highlight w:val="none"/>
        </w:rPr>
        <w:t>新能源产业</w:t>
      </w:r>
      <w:r>
        <w:rPr>
          <w:rFonts w:ascii="Times New Roman" w:hAnsi="Times New Roman" w:eastAsia="方正仿宋_GBK" w:cs="Times New Roman"/>
          <w:sz w:val="32"/>
          <w:szCs w:val="32"/>
          <w:highlight w:val="none"/>
        </w:rPr>
        <w:t>，以隆基乐叶为龙头，</w:t>
      </w:r>
      <w:r>
        <w:rPr>
          <w:rFonts w:ascii="Times New Roman" w:hAnsi="Times New Roman" w:eastAsia="方正仿宋_GBK" w:cs="Times New Roman"/>
          <w:color w:val="000000" w:themeColor="text1"/>
          <w:sz w:val="32"/>
          <w:szCs w:val="32"/>
          <w:highlight w:val="none"/>
          <w14:textFill>
            <w14:solidFill>
              <w14:schemeClr w14:val="tx1"/>
            </w14:solidFill>
          </w14:textFill>
        </w:rPr>
        <w:t>从技术迭代、产品升级、配套生态等多维度发力，加速封装辅材、光伏设备等企业集聚，提高本地配套率，做大产业规模。同步发展分布式光伏，推进工商业光储、光储充一体化、离网微电网等场景模式。</w:t>
      </w:r>
      <w:r>
        <w:rPr>
          <w:rFonts w:ascii="Times New Roman" w:hAnsi="Times New Roman" w:eastAsia="方正仿宋_GBK" w:cs="Times New Roman"/>
          <w:b/>
          <w:bCs/>
          <w:sz w:val="32"/>
          <w:szCs w:val="32"/>
          <w:highlight w:val="none"/>
        </w:rPr>
        <w:t>汽摩零部件产业，</w:t>
      </w:r>
      <w:r>
        <w:rPr>
          <w:rFonts w:ascii="Times New Roman" w:hAnsi="Times New Roman" w:eastAsia="方正仿宋_GBK" w:cs="Times New Roman"/>
          <w:color w:val="000000" w:themeColor="text1"/>
          <w:sz w:val="32"/>
          <w:szCs w:val="32"/>
          <w:highlight w:val="none"/>
          <w14:textFill>
            <w14:solidFill>
              <w14:schemeClr w14:val="tx1"/>
            </w14:solidFill>
          </w14:textFill>
        </w:rPr>
        <w:t>鼓励罡阳股份、飞船股份、劲松股份、吉利机车等传统零部件企业顺应汽车电动化、智能化、轻量化发展趋势，深度融入头部车企供应体系。</w:t>
      </w:r>
      <w:r>
        <w:rPr>
          <w:rFonts w:ascii="Times New Roman" w:hAnsi="Times New Roman" w:eastAsia="方正仿宋_GBK" w:cs="Times New Roman"/>
          <w:b/>
          <w:bCs/>
          <w:color w:val="000000" w:themeColor="text1"/>
          <w:sz w:val="32"/>
          <w:szCs w:val="32"/>
          <w:highlight w:val="none"/>
          <w14:textFill>
            <w14:solidFill>
              <w14:schemeClr w14:val="tx1"/>
            </w14:solidFill>
          </w14:textFill>
        </w:rPr>
        <w:t>电动车零部件产业，</w:t>
      </w:r>
      <w:r>
        <w:rPr>
          <w:rFonts w:ascii="Times New Roman" w:hAnsi="Times New Roman" w:eastAsia="方正仿宋_GBK" w:cs="Times New Roman"/>
          <w:color w:val="000000" w:themeColor="text1"/>
          <w:sz w:val="32"/>
          <w:szCs w:val="32"/>
          <w:highlight w:val="none"/>
          <w14:textFill>
            <w14:solidFill>
              <w14:schemeClr w14:val="tx1"/>
            </w14:solidFill>
          </w14:textFill>
        </w:rPr>
        <w:t>支持唐泽交通、友民交通、飞马车件、天宇交通等企业提升核心零部件竞争优势，擦亮海陵“车件之乡”品牌。</w:t>
      </w:r>
      <w:r>
        <w:rPr>
          <w:rFonts w:ascii="Times New Roman" w:hAnsi="Times New Roman" w:eastAsia="方正仿宋_GBK" w:cs="Times New Roman"/>
          <w:b/>
          <w:bCs/>
          <w:sz w:val="32"/>
          <w:szCs w:val="32"/>
          <w:highlight w:val="none"/>
        </w:rPr>
        <w:t>智能家居产业，</w:t>
      </w:r>
      <w:r>
        <w:rPr>
          <w:rFonts w:ascii="Times New Roman" w:hAnsi="Times New Roman" w:eastAsia="方正仿宋_GBK" w:cs="Times New Roman"/>
          <w:sz w:val="32"/>
          <w:szCs w:val="32"/>
          <w:highlight w:val="none"/>
        </w:rPr>
        <w:t>依托奥睿家居、华晨曲木、富历隆等企业</w:t>
      </w:r>
      <w:r>
        <w:rPr>
          <w:rFonts w:ascii="Times New Roman" w:hAnsi="Times New Roman" w:eastAsia="方正仿宋_GBK" w:cs="Times New Roman"/>
          <w:color w:val="000000" w:themeColor="text1"/>
          <w:sz w:val="32"/>
          <w:szCs w:val="32"/>
          <w:highlight w:val="none"/>
          <w14:textFill>
            <w14:solidFill>
              <w14:schemeClr w14:val="tx1"/>
            </w14:solidFill>
          </w14:textFill>
        </w:rPr>
        <w:t>，做强多功能沙发、曲木家具、吸尘器等拳头产品，发展个性化定制、家居系统集成。聚焦智能生态终端，丰富智能终端产品供给，构建全域互联产业生态体。</w:t>
      </w:r>
      <w:r>
        <w:rPr>
          <w:rFonts w:ascii="Times New Roman" w:hAnsi="Times New Roman" w:eastAsia="方正仿宋_GBK" w:cs="Times New Roman"/>
          <w:b/>
          <w:bCs/>
          <w:sz w:val="32"/>
          <w:szCs w:val="32"/>
          <w:highlight w:val="none"/>
        </w:rPr>
        <w:t>特高压</w:t>
      </w:r>
      <w:r>
        <w:rPr>
          <w:rFonts w:hint="eastAsia" w:ascii="Times New Roman" w:hAnsi="Times New Roman" w:eastAsia="方正仿宋_GBK" w:cs="Times New Roman"/>
          <w:b/>
          <w:bCs/>
          <w:sz w:val="32"/>
          <w:szCs w:val="32"/>
          <w:highlight w:val="none"/>
          <w:lang w:val="en-US" w:eastAsia="zh-CN"/>
        </w:rPr>
        <w:t>产业，</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抢抓“十五五”</w:t>
      </w:r>
      <w:r>
        <w:rPr>
          <w:rFonts w:ascii="Times New Roman" w:hAnsi="Times New Roman" w:eastAsia="方正仿宋_GBK" w:cs="Times New Roman"/>
          <w:color w:val="000000" w:themeColor="text1"/>
          <w:sz w:val="32"/>
          <w:szCs w:val="32"/>
          <w:highlight w:val="none"/>
          <w14:textFill>
            <w14:solidFill>
              <w14:schemeClr w14:val="tx1"/>
            </w14:solidFill>
          </w14:textFill>
        </w:rPr>
        <w:t>发展机遇，支持康乾机械、新源材料深耕核心产品，提升专精特新能力，鼓励天宇等本土企业转型发展，加速招引产业链核心零部件企业，打造县域特色产业。</w:t>
      </w:r>
      <w:r>
        <w:rPr>
          <w:rFonts w:ascii="Times New Roman" w:hAnsi="Times New Roman" w:eastAsia="方正仿宋_GBK" w:cs="Times New Roman"/>
          <w:b/>
          <w:bCs/>
          <w:sz w:val="32"/>
          <w:szCs w:val="32"/>
          <w:highlight w:val="none"/>
        </w:rPr>
        <w:t>农机装备产业，</w:t>
      </w:r>
      <w:r>
        <w:rPr>
          <w:rFonts w:ascii="Times New Roman" w:hAnsi="Times New Roman" w:eastAsia="方正仿宋_GBK" w:cs="Times New Roman"/>
          <w:sz w:val="32"/>
          <w:szCs w:val="32"/>
          <w:highlight w:val="none"/>
        </w:rPr>
        <w:t>抢抓农业现代化发展趋势，鼓励林海股份、常发农装迭代高速插秧机、谷物联合收割机等核心产品，加速关键零部件企业集聚，推动产业由整机制造向“整零协同”纵深发展。</w:t>
      </w:r>
      <w:r>
        <w:rPr>
          <w:rFonts w:ascii="Times New Roman" w:hAnsi="Times New Roman" w:eastAsia="方正仿宋_GBK" w:cs="Times New Roman"/>
          <w:b/>
          <w:bCs/>
          <w:sz w:val="32"/>
          <w:szCs w:val="32"/>
          <w:highlight w:val="none"/>
        </w:rPr>
        <w:t>手机数码产业，</w:t>
      </w:r>
      <w:r>
        <w:rPr>
          <w:rFonts w:ascii="Times New Roman" w:hAnsi="Times New Roman" w:eastAsia="方正仿宋_GBK" w:cs="Times New Roman"/>
          <w:sz w:val="32"/>
          <w:szCs w:val="32"/>
          <w:highlight w:val="none"/>
        </w:rPr>
        <w:t>整合郎克斯、振霄光电上下游配套资源，从手机零配件产品切入</w:t>
      </w:r>
      <w:r>
        <w:rPr>
          <w:rFonts w:ascii="Times New Roman" w:hAnsi="Times New Roman" w:eastAsia="方正仿宋_GBK" w:cs="Times New Roman"/>
          <w:color w:val="000000" w:themeColor="text1"/>
          <w:sz w:val="32"/>
          <w:szCs w:val="32"/>
          <w:highlight w:val="none"/>
          <w14:textFill>
            <w14:solidFill>
              <w14:schemeClr w14:val="tx1"/>
            </w14:solidFill>
          </w14:textFill>
        </w:rPr>
        <w:t>电脑、手机等数码产业赛道。</w:t>
      </w:r>
    </w:p>
    <w:p w14:paraId="3F336AB3">
      <w:pPr>
        <w:spacing w:line="600" w:lineRule="exact"/>
        <w:ind w:firstLine="640" w:firstLineChars="200"/>
        <w:jc w:val="both"/>
        <w:rPr>
          <w:rFonts w:ascii="Times New Roman" w:hAnsi="Times New Roman" w:eastAsia="方正黑体_GBK" w:cs="Times New Roman"/>
          <w:color w:val="000000" w:themeColor="text1"/>
          <w:sz w:val="32"/>
          <w:szCs w:val="32"/>
          <w:highlight w:val="none"/>
          <w14:textFill>
            <w14:solidFill>
              <w14:schemeClr w14:val="tx1"/>
            </w14:solidFill>
          </w14:textFill>
        </w:rPr>
      </w:pPr>
      <w:r>
        <w:rPr>
          <w:rFonts w:ascii="Times New Roman" w:hAnsi="Times New Roman" w:eastAsia="方正黑体_GBK" w:cs="Times New Roman"/>
          <w:color w:val="000000" w:themeColor="text1"/>
          <w:sz w:val="32"/>
          <w:szCs w:val="32"/>
          <w:highlight w:val="none"/>
          <w14:textFill>
            <w14:solidFill>
              <w14:schemeClr w14:val="tx1"/>
            </w14:solidFill>
          </w14:textFill>
        </w:rPr>
        <w:t>六、工作举措</w:t>
      </w:r>
    </w:p>
    <w:p w14:paraId="32913C48">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“十五五”期间，立足现有产业基础与资源禀赋，围绕产业升级、技术创新、智改数转、绿色发展、企业培育、营商环境等方面增量体质，推进新型工业化。</w:t>
      </w:r>
    </w:p>
    <w:p w14:paraId="08C2552D">
      <w:pPr>
        <w:spacing w:line="600" w:lineRule="exact"/>
        <w:ind w:firstLine="640" w:firstLineChars="200"/>
        <w:jc w:val="both"/>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pP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（一）锚定转型方向，构建现代化产业体系</w:t>
      </w:r>
    </w:p>
    <w:p w14:paraId="224A499C">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kern w:val="0"/>
          <w:sz w:val="32"/>
          <w:szCs w:val="32"/>
          <w:highlight w:val="none"/>
          <w:lang w:bidi="ar"/>
          <w14:textFill>
            <w14:solidFill>
              <w14:schemeClr w14:val="tx1"/>
            </w14:solidFill>
          </w14:textFill>
        </w:rPr>
        <w:t>加快发展新质生产力，持续推进</w:t>
      </w:r>
      <w:r>
        <w:rPr>
          <w:rFonts w:ascii="Times New Roman" w:hAnsi="Times New Roman" w:eastAsia="方正仿宋_GBK" w:cs="Times New Roman"/>
          <w:color w:val="000000" w:themeColor="text1"/>
          <w:sz w:val="32"/>
          <w:szCs w:val="32"/>
          <w:highlight w:val="none"/>
          <w14:textFill>
            <w14:solidFill>
              <w14:schemeClr w14:val="tx1"/>
            </w14:solidFill>
          </w14:textFill>
        </w:rPr>
        <w:t>传统产业焕新、新兴产业壮大、未来产业布局，以现代化产业体系夯实制造强区根基。</w:t>
      </w:r>
    </w:p>
    <w:p w14:paraId="16F6AA3C">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推动传统产业焕新。</w:t>
      </w:r>
      <w:r>
        <w:rPr>
          <w:rFonts w:ascii="Times New Roman" w:hAnsi="Times New Roman" w:eastAsia="方正仿宋_GBK" w:cs="Times New Roman"/>
          <w:color w:val="000000" w:themeColor="text1"/>
          <w:sz w:val="32"/>
          <w:szCs w:val="32"/>
          <w:highlight w:val="none"/>
          <w14:textFill>
            <w14:solidFill>
              <w14:schemeClr w14:val="tx1"/>
            </w14:solidFill>
          </w14:textFill>
        </w:rPr>
        <w:t>针对传统行业老旧设备、低效设备，实施常态化更新改造工程，淘汰落后工艺装备，退出低端低效产能。推动传统工艺革新优化，采用工艺先进、安全绿色、高效智能的生产装备，大力推广运用新技术、新设备、新工艺，提升产品精度、性能、稳定性，打破低端代工、低附加值的发展困境。聚焦市场消费需求和行业发展趋势，鼓励传统企业对生产组织形式、运营管理方式和商业发展模式进行优化升级和协同创新，推广工业设计、服务型制造在传统行业应用，推动产品从“通用化”向“精品化、差异化、高端化”转型，提升产品市场竞争力和溢价空间。针对能耗较高传统行业，大力推进节能降碳、清洁生产、资源综合利用，推广高效节能电机、余热回收、智能控能等绿色技术装备，优化生产能耗结构，严控单位产值能耗、污染物排放，持续提升能源利用效率，推动传统产业绿色低碳可持续发展。</w:t>
      </w:r>
    </w:p>
    <w:p w14:paraId="0FED7AFE">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2. 培育新兴产业壮大。</w:t>
      </w:r>
      <w:r>
        <w:rPr>
          <w:rFonts w:ascii="Times New Roman" w:hAnsi="Times New Roman" w:eastAsia="方正仿宋_GBK" w:cs="Times New Roman"/>
          <w:color w:val="000000" w:themeColor="text1"/>
          <w:sz w:val="32"/>
          <w:szCs w:val="32"/>
          <w:highlight w:val="none"/>
          <w14:textFill>
            <w14:solidFill>
              <w14:schemeClr w14:val="tx1"/>
            </w14:solidFill>
          </w14:textFill>
        </w:rPr>
        <w:t>围绕“新车智数”新兴产业，以“链群协同”为抓手，构建现代化产业体系。</w:t>
      </w:r>
      <w:r>
        <w:rPr>
          <w:rFonts w:ascii="Times New Roman" w:hAnsi="Times New Roman" w:eastAsia="楷体_GB2312" w:cs="Times New Roman"/>
          <w:color w:val="000000" w:themeColor="text1"/>
          <w:sz w:val="32"/>
          <w:szCs w:val="32"/>
          <w:highlight w:val="none"/>
          <w14:textFill>
            <w14:solidFill>
              <w14:schemeClr w14:val="tx1"/>
            </w14:solidFill>
          </w14:textFill>
        </w:rPr>
        <w:t>新能源、新材料产业，</w:t>
      </w:r>
      <w:r>
        <w:rPr>
          <w:rFonts w:ascii="Times New Roman" w:hAnsi="Times New Roman" w:eastAsia="方正仿宋_GBK" w:cs="Times New Roman"/>
          <w:color w:val="000000" w:themeColor="text1"/>
          <w:sz w:val="32"/>
          <w:szCs w:val="32"/>
          <w:highlight w:val="none"/>
          <w14:textFill>
            <w14:solidFill>
              <w14:schemeClr w14:val="tx1"/>
            </w14:solidFill>
          </w14:textFill>
        </w:rPr>
        <w:t>持续关注光伏组件技术路线发展变化，推动先进技术产品规模化量产落地，进一步做大做强接线盒、胶膜、光伏玻璃等关键环节，提高本地配套率，扩大盈利增收。大力发展锂电储能产业，加快实现从单一组件生产向“组件+装备+储能”多元转型。支持半导体封装、特高压绝缘、环保型聚酯帘子布技术迭代，推动前沿材料国产替代，实现新材料与主导产业配套需求的协同发展</w:t>
      </w:r>
      <w:r>
        <w:rPr>
          <w:rFonts w:ascii="Times New Roman" w:hAnsi="Times New Roman" w:eastAsia="楷体_GB2312" w:cs="Times New Roman"/>
          <w:color w:val="000000" w:themeColor="text1"/>
          <w:sz w:val="32"/>
          <w:szCs w:val="32"/>
          <w:highlight w:val="none"/>
          <w14:textFill>
            <w14:solidFill>
              <w14:schemeClr w14:val="tx1"/>
            </w14:solidFill>
          </w14:textFill>
        </w:rPr>
        <w:t>。汽摩零部件产业，</w:t>
      </w:r>
      <w:r>
        <w:rPr>
          <w:rFonts w:ascii="Times New Roman" w:hAnsi="Times New Roman" w:eastAsia="方正仿宋_GBK" w:cs="Times New Roman"/>
          <w:color w:val="000000" w:themeColor="text1"/>
          <w:sz w:val="32"/>
          <w:szCs w:val="32"/>
          <w:highlight w:val="none"/>
          <w14:textFill>
            <w14:solidFill>
              <w14:schemeClr w14:val="tx1"/>
            </w14:solidFill>
          </w14:textFill>
        </w:rPr>
        <w:t>依托现有产业基础深化与头部车企供需合作，支持优质企业增资扩产、智能改造，提升曲轴、转向器、齿轮、内饰件等核心零部件市占率。大力发展中高端摩托车、骑行装备等新兴领域，提升消音器、减震器、轮毂等核心零部件本地配套率。抢抓新能源汽车发展机遇，引导传统零部件企业向电动化、轻量化方向升级，拓展新能源汽车配套领域高附加值产品。</w:t>
      </w:r>
      <w:r>
        <w:rPr>
          <w:rFonts w:ascii="Times New Roman" w:hAnsi="Times New Roman" w:eastAsia="楷体_GB2312" w:cs="Times New Roman"/>
          <w:color w:val="000000" w:themeColor="text1"/>
          <w:sz w:val="32"/>
          <w:szCs w:val="32"/>
          <w:highlight w:val="none"/>
          <w14:textFill>
            <w14:solidFill>
              <w14:schemeClr w14:val="tx1"/>
            </w14:solidFill>
          </w14:textFill>
        </w:rPr>
        <w:t>智慧家电、智能家居产业，</w:t>
      </w:r>
      <w:r>
        <w:rPr>
          <w:rFonts w:ascii="Times New Roman" w:hAnsi="Times New Roman" w:eastAsia="方正仿宋_GBK" w:cs="Times New Roman"/>
          <w:color w:val="000000" w:themeColor="text1"/>
          <w:sz w:val="32"/>
          <w:szCs w:val="32"/>
          <w:highlight w:val="none"/>
          <w14:textFill>
            <w14:solidFill>
              <w14:schemeClr w14:val="tx1"/>
            </w14:solidFill>
          </w14:textFill>
        </w:rPr>
        <w:t>支持乐金电子及上下游企业稳产扩能，持续引进高端豪华冰箱产品线，巩固LG全球最大冰箱生产基地地位。支持产业链企业大力拓展外部市场，实现从单一配套向多元化发展转型，提升产业链韧性和抗风险能力。支持多功能沙发、曲木家具、吸尘器等传统产品向传感交互、智能物联升级迭代，招引空调、小家电、智能生态设备企业落户，实现大家电做优、小家电做大。</w:t>
      </w:r>
      <w:r>
        <w:rPr>
          <w:rFonts w:ascii="Times New Roman" w:hAnsi="Times New Roman" w:eastAsia="楷体_GB2312" w:cs="Times New Roman"/>
          <w:color w:val="000000" w:themeColor="text1"/>
          <w:sz w:val="32"/>
          <w:szCs w:val="32"/>
          <w:highlight w:val="none"/>
          <w14:textFill>
            <w14:solidFill>
              <w14:schemeClr w14:val="tx1"/>
            </w14:solidFill>
          </w14:textFill>
        </w:rPr>
        <w:t>数字经济产业，</w:t>
      </w:r>
      <w:r>
        <w:rPr>
          <w:rFonts w:ascii="Times New Roman" w:hAnsi="Times New Roman" w:eastAsia="方正仿宋_GBK" w:cs="Times New Roman"/>
          <w:color w:val="000000" w:themeColor="text1"/>
          <w:sz w:val="32"/>
          <w:szCs w:val="32"/>
          <w:highlight w:val="none"/>
          <w14:textFill>
            <w14:solidFill>
              <w14:schemeClr w14:val="tx1"/>
            </w14:solidFill>
          </w14:textFill>
        </w:rPr>
        <w:t>围绕数字产品制造、数字产品服务、数字技术应用、数字要素驱动等核心领域，推动电子信息产业数智赋能智慧家电、智能家居产业，实现产业同频共振。构建网络数据安全产品矩阵，强化与国产算力芯片头部厂商合作，推广在综合能源管理、工业信息安全、智能制造服务、物联网等领域应用。深化与电信泰州分公司战略合作，充分发挥移动（泰州）智算中心支撑作用，加大在算力、数据资源等领域的布局力度，赋能制造业数字化转型。依托360“泰有AI”等平台深度赋能主导产业，拓展人工智能大模型、数据调度与数据安全、通讯控制等细分领域示范应用。</w:t>
      </w:r>
    </w:p>
    <w:p w14:paraId="249428C8">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3. 前瞻布局未来产业。</w:t>
      </w:r>
      <w:r>
        <w:rPr>
          <w:rFonts w:ascii="Times New Roman" w:hAnsi="Times New Roman" w:eastAsia="方正仿宋_GBK" w:cs="Times New Roman"/>
          <w:color w:val="000000" w:themeColor="text1"/>
          <w:sz w:val="32"/>
          <w:szCs w:val="32"/>
          <w:highlight w:val="none"/>
          <w14:textFill>
            <w14:solidFill>
              <w14:schemeClr w14:val="tx1"/>
            </w14:solidFill>
          </w14:textFill>
        </w:rPr>
        <w:t>围绕未来制造、未来信息、未来材料、未来能源、未来空间、未来健康等六大方向产业发展，前瞻布局</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具身智能、第六代移动通信（6G）</w:t>
      </w:r>
      <w:r>
        <w:rPr>
          <w:rFonts w:ascii="Times New Roman" w:hAnsi="Times New Roman" w:eastAsia="方正仿宋_GBK" w:cs="Times New Roman"/>
          <w:color w:val="000000" w:themeColor="text1"/>
          <w:sz w:val="32"/>
          <w:szCs w:val="32"/>
          <w:highlight w:val="none"/>
          <w14:textFill>
            <w14:solidFill>
              <w14:schemeClr w14:val="tx1"/>
            </w14:solidFill>
          </w14:textFill>
        </w:rPr>
        <w:t>等未来产业。聚焦未来产业重点领域，引进一批科技领军企业、科研机构平台、科技战略人才，加快“从0到1”的原创性、颠覆性技术攻关。聚合学术界、产业界多方力量，着力突破科技创新到成果转化和产业化的关键环节，打造市场需求指引技术研发、科技创新拓展应用需求的双向互动格局，推动未来产业科技成果转移转化和产业化应用示范。依托现有科技基础与资源禀赋，支持有条件的企业聚焦行业发展趋势前瞻布局未来产业新赛道，开展产业链专场对接活动，梳理未来产业重点领域产业链供应链“产品需求清单”“配套供应清单”“技术攻克清单”，推动供应链产业链创新链协同合作。以场景为牵引、应用为导向建设相应的软硬件设施，培育安全可靠、契合市场需求的产品和服务，并以点带面，撬动周边其他场景开发，加快打造产业生态。推动未来产业与数字经济、绿色产业深度耦合，着力构建创新力强、紧密度高的未来产业梯度。</w:t>
      </w:r>
    </w:p>
    <w:p w14:paraId="62ED5792">
      <w:pPr>
        <w:spacing w:line="600" w:lineRule="exact"/>
        <w:ind w:firstLine="640" w:firstLineChars="200"/>
        <w:jc w:val="both"/>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pP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（二）激活科创内核，汇聚产业核心竞争力</w:t>
      </w:r>
    </w:p>
    <w:p w14:paraId="464570DA">
      <w:pPr>
        <w:spacing w:line="600" w:lineRule="exact"/>
        <w:ind w:firstLine="640" w:firstLineChars="200"/>
        <w:jc w:val="both"/>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pP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完善制造业创新体系，不断提升企业自主创新能力、关键核心技术攻关能力、产业链协同创新能力，以技术创新塑造产业竞争优势。</w:t>
      </w:r>
    </w:p>
    <w:p w14:paraId="71073BDA">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强化企业创新主体地位。</w:t>
      </w:r>
      <w:r>
        <w:rPr>
          <w:rFonts w:ascii="Times New Roman" w:hAnsi="Times New Roman" w:eastAsia="方正仿宋_GBK" w:cs="Times New Roman"/>
          <w:color w:val="000000" w:themeColor="text1"/>
          <w:kern w:val="0"/>
          <w:sz w:val="32"/>
          <w:szCs w:val="32"/>
          <w:highlight w:val="none"/>
          <w:lang w:bidi="ar"/>
          <w14:textFill>
            <w14:solidFill>
              <w14:schemeClr w14:val="tx1"/>
            </w14:solidFill>
          </w14:textFill>
        </w:rPr>
        <w:t>健全“科技型中小企业—高新技术企业—科技领军企业”梯队培育体系，构建“选种、育苗、成长、壮大”培育链条，全面壮大创新主体规模与能级。</w:t>
      </w:r>
      <w:r>
        <w:rPr>
          <w:rFonts w:ascii="Times New Roman" w:hAnsi="Times New Roman" w:eastAsia="方正仿宋_GBK" w:cs="Times New Roman"/>
          <w:color w:val="000000" w:themeColor="text1"/>
          <w:sz w:val="32"/>
          <w:szCs w:val="32"/>
          <w:highlight w:val="none"/>
          <w14:textFill>
            <w14:solidFill>
              <w14:schemeClr w14:val="tx1"/>
            </w14:solidFill>
          </w14:textFill>
        </w:rPr>
        <w:t>聚焦高技术、高成长、高价值等特征，鼓励企业坚持创新驱动，持续增强发展韧性与扩张能力，</w:t>
      </w:r>
      <w:r>
        <w:rPr>
          <w:rFonts w:ascii="Times New Roman" w:hAnsi="Times New Roman" w:eastAsia="方正仿宋_GBK" w:cs="Times New Roman"/>
          <w:color w:val="000000" w:themeColor="text1"/>
          <w:kern w:val="0"/>
          <w:sz w:val="32"/>
          <w:szCs w:val="32"/>
          <w:highlight w:val="none"/>
          <w:lang w:bidi="ar"/>
          <w14:textFill>
            <w14:solidFill>
              <w14:schemeClr w14:val="tx1"/>
            </w14:solidFill>
          </w14:textFill>
        </w:rPr>
        <w:t>靶向培育一批“瞪羚”“独角兽”企业，滚动实施一批产业带动作用强的重大科技创新项目。</w:t>
      </w:r>
    </w:p>
    <w:p w14:paraId="3D90002C">
      <w:pPr>
        <w:widowControl/>
        <w:spacing w:line="600" w:lineRule="exact"/>
        <w:ind w:firstLine="640" w:firstLineChars="200"/>
        <w:jc w:val="both"/>
        <w:rPr>
          <w:rFonts w:hint="eastAsia" w:ascii="方正仿宋_GBK" w:hAnsi="方正仿宋_GBK" w:eastAsia="方正仿宋_GBK" w:cs="方正仿宋_GBK"/>
          <w:color w:val="auto"/>
          <w:kern w:val="0"/>
          <w:sz w:val="32"/>
          <w:szCs w:val="32"/>
          <w:highlight w:val="none"/>
          <w:shd w:val="clear" w:color="auto" w:fill="FCFDFD"/>
          <w:lang w:bidi="ar"/>
        </w:rPr>
      </w:pPr>
      <w:r>
        <w:rPr>
          <w:rFonts w:ascii="Times New Roman" w:hAnsi="Times New Roman" w:eastAsia="楷体_GB2312" w:cs="Times New Roman"/>
          <w:color w:val="000000" w:themeColor="text1"/>
          <w:sz w:val="32"/>
          <w:szCs w:val="32"/>
          <w:highlight w:val="none"/>
          <w14:textFill>
            <w14:solidFill>
              <w14:schemeClr w14:val="tx1"/>
            </w14:solidFill>
          </w14:textFill>
        </w:rPr>
        <w:t>2. 提升企业技术创新能力。</w:t>
      </w:r>
      <w:r>
        <w:rPr>
          <w:rFonts w:hint="eastAsia" w:ascii="方正仿宋_GBK" w:hAnsi="方正仿宋_GBK" w:eastAsia="方正仿宋_GBK" w:cs="方正仿宋_GBK"/>
          <w:color w:val="auto"/>
          <w:kern w:val="0"/>
          <w:sz w:val="32"/>
          <w:szCs w:val="32"/>
          <w:highlight w:val="none"/>
          <w:lang w:bidi="ar"/>
        </w:rPr>
        <w:t>鼓励企业加大研发投入，</w:t>
      </w:r>
      <w:r>
        <w:rPr>
          <w:rFonts w:hint="eastAsia" w:ascii="方正仿宋_GBK" w:hAnsi="方正仿宋_GBK" w:eastAsia="方正仿宋_GBK" w:cs="方正仿宋_GBK"/>
          <w:color w:val="auto"/>
          <w:sz w:val="32"/>
          <w:szCs w:val="32"/>
          <w:highlight w:val="none"/>
        </w:rPr>
        <w:t>加强研发机构建设,推进规上企业研发机构全覆盖,统筹工程中心、企业技术中心、工程技术研究中心建设,</w:t>
      </w:r>
      <w:r>
        <w:rPr>
          <w:rFonts w:hint="eastAsia" w:ascii="方正仿宋_GBK" w:hAnsi="方正仿宋_GBK" w:eastAsia="方正仿宋_GBK" w:cs="方正仿宋_GBK"/>
          <w:color w:val="auto"/>
          <w:sz w:val="32"/>
          <w:szCs w:val="32"/>
          <w:highlight w:val="none"/>
          <w:lang w:val="en-US" w:eastAsia="zh-CN"/>
        </w:rPr>
        <w:t>提升规上企业研发机构覆盖率，推动企业研发体系从“有形覆盖”向“有效赋能”跃升，促进创新链与产业链精准对接、深度融合。</w:t>
      </w:r>
    </w:p>
    <w:p w14:paraId="58637A10">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3. 推进关键核心技术攻关。</w:t>
      </w:r>
      <w:r>
        <w:rPr>
          <w:rFonts w:ascii="Times New Roman" w:hAnsi="Times New Roman" w:eastAsia="方正仿宋_GBK" w:cs="Times New Roman"/>
          <w:color w:val="000000" w:themeColor="text1"/>
          <w:kern w:val="0"/>
          <w:sz w:val="32"/>
          <w:szCs w:val="32"/>
          <w:highlight w:val="none"/>
          <w:lang w:bidi="ar"/>
          <w14:textFill>
            <w14:solidFill>
              <w14:schemeClr w14:val="tx1"/>
            </w14:solidFill>
          </w14:textFill>
        </w:rPr>
        <w:t>以“产业出题、科技答题”为导向，瞄准</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产业</w:t>
      </w:r>
      <w:r>
        <w:rPr>
          <w:rFonts w:ascii="Times New Roman" w:hAnsi="Times New Roman" w:eastAsia="方正仿宋_GBK" w:cs="Times New Roman"/>
          <w:color w:val="000000" w:themeColor="text1"/>
          <w:kern w:val="0"/>
          <w:sz w:val="32"/>
          <w:szCs w:val="32"/>
          <w:highlight w:val="none"/>
          <w:lang w:bidi="ar"/>
          <w14:textFill>
            <w14:solidFill>
              <w14:schemeClr w14:val="tx1"/>
            </w14:solidFill>
          </w14:textFill>
        </w:rPr>
        <w:t>链关键环节、</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“卡脖子”技术实施攻关，</w:t>
      </w:r>
      <w:r>
        <w:rPr>
          <w:rFonts w:hint="default" w:ascii="Times New Roman" w:hAnsi="Times New Roman" w:eastAsia="方正仿宋_GBK" w:cs="Times New Roman"/>
          <w:color w:val="000000" w:themeColor="text1"/>
          <w:kern w:val="0"/>
          <w:sz w:val="32"/>
          <w:szCs w:val="32"/>
          <w:highlight w:val="none"/>
          <w:shd w:val="clear" w:color="auto" w:fill="FFFFFF"/>
          <w:lang w:val="en-US" w:eastAsia="zh-CN" w:bidi="ar"/>
          <w14:textFill>
            <w14:solidFill>
              <w14:schemeClr w14:val="tx1"/>
            </w14:solidFill>
          </w14:textFill>
        </w:rPr>
        <w:t>以“三首两新”</w:t>
      </w:r>
      <w:r>
        <w:rPr>
          <w:rFonts w:hint="eastAsia" w:ascii="Times New Roman" w:hAnsi="Times New Roman" w:eastAsia="方正仿宋_GBK" w:cs="Times New Roman"/>
          <w:color w:val="000000" w:themeColor="text1"/>
          <w:kern w:val="0"/>
          <w:sz w:val="32"/>
          <w:szCs w:val="32"/>
          <w:highlight w:val="none"/>
          <w:shd w:val="clear" w:color="auto" w:fill="FFFFFF"/>
          <w:lang w:val="en-US" w:eastAsia="zh-CN" w:bidi="ar"/>
          <w14:textFill>
            <w14:solidFill>
              <w14:schemeClr w14:val="tx1"/>
            </w14:solidFill>
          </w14:textFill>
        </w:rPr>
        <w:t>创建</w:t>
      </w:r>
      <w:r>
        <w:rPr>
          <w:rFonts w:hint="default" w:ascii="Times New Roman" w:hAnsi="Times New Roman" w:eastAsia="方正仿宋_GBK" w:cs="Times New Roman"/>
          <w:color w:val="000000" w:themeColor="text1"/>
          <w:kern w:val="0"/>
          <w:sz w:val="32"/>
          <w:szCs w:val="32"/>
          <w:highlight w:val="none"/>
          <w:shd w:val="clear" w:color="auto" w:fill="FFFFFF"/>
          <w:lang w:val="en-US" w:eastAsia="zh-CN" w:bidi="ar"/>
          <w14:textFill>
            <w14:solidFill>
              <w14:schemeClr w14:val="tx1"/>
            </w14:solidFill>
          </w14:textFill>
        </w:rPr>
        <w:t>为</w:t>
      </w:r>
      <w:r>
        <w:rPr>
          <w:rFonts w:hint="eastAsia" w:ascii="Times New Roman" w:hAnsi="Times New Roman" w:eastAsia="方正仿宋_GBK" w:cs="Times New Roman"/>
          <w:color w:val="000000" w:themeColor="text1"/>
          <w:kern w:val="0"/>
          <w:sz w:val="32"/>
          <w:szCs w:val="32"/>
          <w:highlight w:val="none"/>
          <w:shd w:val="clear" w:color="auto" w:fill="FFFFFF"/>
          <w:lang w:val="en-US" w:eastAsia="zh-CN" w:bidi="ar"/>
          <w14:textFill>
            <w14:solidFill>
              <w14:schemeClr w14:val="tx1"/>
            </w14:solidFill>
          </w14:textFill>
        </w:rPr>
        <w:t>抓手</w:t>
      </w:r>
      <w:r>
        <w:rPr>
          <w:rFonts w:hint="default" w:ascii="Times New Roman" w:hAnsi="Times New Roman" w:eastAsia="方正仿宋_GBK" w:cs="Times New Roman"/>
          <w:color w:val="000000" w:themeColor="text1"/>
          <w:kern w:val="0"/>
          <w:sz w:val="32"/>
          <w:szCs w:val="32"/>
          <w:highlight w:val="none"/>
          <w:shd w:val="clear" w:color="auto" w:fill="FFFFFF"/>
          <w:lang w:val="en-US" w:eastAsia="zh-CN" w:bidi="ar"/>
          <w14:textFill>
            <w14:solidFill>
              <w14:schemeClr w14:val="tx1"/>
            </w14:solidFill>
          </w14:textFill>
        </w:rPr>
        <w:t>，加快新技术、新产品、新业态示范应用和迭代升级，形成“以用促研、以研提级”的良性循环，推动创新产品规模化、常态化应用。</w:t>
      </w:r>
      <w:r>
        <w:rPr>
          <w:rFonts w:ascii="Times New Roman" w:hAnsi="Times New Roman" w:eastAsia="方正仿宋_GBK" w:cs="Times New Roman"/>
          <w:color w:val="000000" w:themeColor="text1"/>
          <w:sz w:val="32"/>
          <w:szCs w:val="32"/>
          <w:highlight w:val="none"/>
          <w14:textFill>
            <w14:solidFill>
              <w14:schemeClr w14:val="tx1"/>
            </w14:solidFill>
          </w14:textFill>
        </w:rPr>
        <w:t>运用“揭榜挂帅”、定向委托等新型组织方式,实现更多研发由企业主导。支持企业与高校、科研院所开展联合攻关,</w:t>
      </w:r>
      <w:r>
        <w:rPr>
          <w:rFonts w:ascii="Times New Roman" w:hAnsi="Times New Roman" w:eastAsia="方正仿宋_GBK" w:cs="Times New Roman"/>
          <w:color w:val="000000" w:themeColor="text1"/>
          <w:kern w:val="0"/>
          <w:sz w:val="32"/>
          <w:szCs w:val="32"/>
          <w:highlight w:val="none"/>
          <w:lang w:bidi="ar"/>
          <w14:textFill>
            <w14:solidFill>
              <w14:schemeClr w14:val="tx1"/>
            </w14:solidFill>
          </w14:textFill>
        </w:rPr>
        <w:t>突破一批制约产业发展的关键核心技术，形成一批高质量产业创新成果。</w:t>
      </w:r>
    </w:p>
    <w:p w14:paraId="6E034837">
      <w:pPr>
        <w:keepNext w:val="0"/>
        <w:keepLines w:val="0"/>
        <w:pageBreakBefore w:val="0"/>
        <w:widowControl/>
        <w:numPr>
          <w:ilvl w:val="0"/>
          <w:numId w:val="0"/>
        </w:numPr>
        <w:suppressLineNumbers w:val="0"/>
        <w:kinsoku/>
        <w:wordWrap/>
        <w:overflowPunct/>
        <w:topLinePunct w:val="0"/>
        <w:autoSpaceDE/>
        <w:autoSpaceDN/>
        <w:bidi w:val="0"/>
        <w:spacing w:line="600" w:lineRule="exact"/>
        <w:ind w:left="0" w:leftChars="0" w:firstLine="640" w:firstLineChars="200"/>
        <w:jc w:val="both"/>
        <w:textAlignment w:val="auto"/>
        <w:rPr>
          <w:rFonts w:ascii="Times New Roman" w:hAnsi="Times New Roman" w:eastAsia="方正仿宋_GBK" w:cs="Times New Roman"/>
          <w:color w:val="auto"/>
          <w:kern w:val="0"/>
          <w:sz w:val="32"/>
          <w:szCs w:val="32"/>
          <w:highlight w:val="none"/>
          <w:lang w:bidi="ar"/>
        </w:rPr>
      </w:pPr>
      <w:r>
        <w:rPr>
          <w:rFonts w:ascii="Times New Roman" w:hAnsi="Times New Roman" w:eastAsia="楷体_GB2312" w:cs="Times New Roman"/>
          <w:color w:val="000000" w:themeColor="text1"/>
          <w:sz w:val="32"/>
          <w:szCs w:val="32"/>
          <w:highlight w:val="none"/>
          <w14:textFill>
            <w14:solidFill>
              <w14:schemeClr w14:val="tx1"/>
            </w14:solidFill>
          </w14:textFill>
        </w:rPr>
        <w:t>4. 建设高水平技术创新平台。</w:t>
      </w:r>
      <w:r>
        <w:rPr>
          <w:rFonts w:hint="default" w:ascii="Times New Roman" w:hAnsi="Times New Roman" w:eastAsia="方正仿宋_GBK" w:cs="Times New Roman"/>
          <w:color w:val="auto"/>
          <w:kern w:val="0"/>
          <w:sz w:val="32"/>
          <w:szCs w:val="32"/>
          <w:highlight w:val="none"/>
          <w:u w:val="none"/>
          <w:lang w:val="en-US" w:eastAsia="zh-CN" w:bidi="ar"/>
        </w:rPr>
        <w:t>高标准建设技术创新中心、制造业创新中心、产业创新中心等高能级平台，支持企业牵头组建省级重点实验室、省技术创新中心、新型研发机构，鼓励企业与高校院所共建产业创新联合体，深化产学研协同创新。推进众创空间、孵化器、科创综合体等创新创业载体提质升级，构建支撑有力、链条完整、开放共享的创新平台体系。</w:t>
      </w:r>
    </w:p>
    <w:p w14:paraId="14A03285">
      <w:pPr>
        <w:spacing w:line="600" w:lineRule="exact"/>
        <w:ind w:firstLine="640" w:firstLineChars="200"/>
        <w:jc w:val="both"/>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pP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（三）深耕数智变革，推动企业裂变发展</w:t>
      </w:r>
    </w:p>
    <w:p w14:paraId="60BEC319">
      <w:pPr>
        <w:spacing w:line="600" w:lineRule="exact"/>
        <w:ind w:firstLine="640" w:firstLineChars="200"/>
        <w:jc w:val="both"/>
        <w:rPr>
          <w:rFonts w:ascii="Times New Roman" w:hAnsi="Times New Roman" w:eastAsia="宋体" w:cs="Times New Roman"/>
          <w:color w:val="000000" w:themeColor="text1"/>
          <w:kern w:val="0"/>
          <w:sz w:val="32"/>
          <w:szCs w:val="32"/>
          <w:highlight w:val="none"/>
          <w:lang w:bidi="ar"/>
          <w14:textFill>
            <w14:solidFill>
              <w14:schemeClr w14:val="tx1"/>
            </w14:solidFill>
          </w14:textFill>
        </w:rPr>
      </w:pP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以数字经济与实体经济融合发展为主线，通过技术设备更新、智能工厂建设、数字化转型、人工智能应用，推动全区制造业加速向数字化、网络化、智能化方向发展。</w:t>
      </w:r>
    </w:p>
    <w:p w14:paraId="114F8B6C">
      <w:pPr>
        <w:widowControl/>
        <w:spacing w:line="600" w:lineRule="exact"/>
        <w:ind w:firstLine="640" w:firstLineChars="200"/>
        <w:jc w:val="both"/>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支持优质企业增资扩产。</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摸排建立增资扩产重点项目库，滚动实施一批增资扩产项目。支持产能利用率高、质态效益好的企业实施增资扩产，进一步扩大生产规模、巩固领先优势。鼓励企业依托本地资源禀赋、产业基础、科研条件，围绕新产品研发、新技术应用、新业务布局实施增资扩产，优化产品性能、降低生产成本、提高产品附加值，进一步提升市场竞争力、争取更多市场份额，让优质企业在海陵扎根发展。</w:t>
      </w:r>
    </w:p>
    <w:p w14:paraId="33A472F2">
      <w:pPr>
        <w:widowControl/>
        <w:spacing w:line="600" w:lineRule="exact"/>
        <w:ind w:firstLine="640" w:firstLineChars="200"/>
        <w:jc w:val="both"/>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2. 推动企业加快设备更新。</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抢抓“两重”“两新”政策窗口期，重点推进传统产业、新兴产业加快老旧装置更新升级和工艺流程优化改造。推动传统企业通过数智技术、绿色技术提升竞争力，不断丰富产品供给、提高产品品质，提升市场竞争力。支持新兴企业，通过技术研发、产品迭代、规模应用，加速产业化发展。帮助符合条件的企业争取超长期特别国债、工业领域科技创新和技术改造再贷款政策支持。</w:t>
      </w:r>
    </w:p>
    <w:p w14:paraId="46DA770B">
      <w:pPr>
        <w:widowControl/>
        <w:spacing w:line="600" w:lineRule="exact"/>
        <w:ind w:firstLine="640" w:firstLineChars="200"/>
        <w:jc w:val="both"/>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3. 推进智能工厂梯度培育。</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支持企业加强智能制造装备、工业软件与操作系统和工业网络设备等集成应用，规模化推进基础级智能工厂建设。支持基础级智能工厂深化工业互联网创新应用 , 聚焦工厂建设、产品工艺设计、生产经营管理等环节升级，建设先进级智能工厂。支持先进级智能工厂推进制造各环节集成贯通和综合优化，力争向卓越级智能工厂跃升。</w:t>
      </w:r>
    </w:p>
    <w:p w14:paraId="4615C5A0">
      <w:pPr>
        <w:widowControl/>
        <w:spacing w:line="600" w:lineRule="exact"/>
        <w:ind w:firstLine="640" w:firstLineChars="200"/>
        <w:jc w:val="both"/>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4. 加快企业数字化转型。</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引导企业在产品设计、生产管控、营销管理、仓储物流和财务管理等应用场景 , 探索实施设备和业务上云 , 实现单个细分场景的效率提升。鼓励有一定数字化基础的企业，在产品生命周期 、生产执行、供应链和管理决策等多场景持续提升数字化水平。支持企业深化工业互联网创新应用，开展企业级工业互联网平台建设 , 围绕开发标准化、模块化产品与解决方案，建设行业和区域级工业互联网平台，培育一批省级工业互联网标杆工厂。</w:t>
      </w:r>
    </w:p>
    <w:p w14:paraId="4C4B62CA">
      <w:pPr>
        <w:widowControl/>
        <w:spacing w:line="600" w:lineRule="exact"/>
        <w:ind w:firstLine="640" w:firstLineChars="200"/>
        <w:jc w:val="both"/>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5. 推广人工智能应用。</w:t>
      </w:r>
      <w:r>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t>推进人工智能技术深度嵌入生产制造核心环节，支持企业拓展研发设计、生产管理、质量管控、营销服务、运维管理等应用场景，推动全流程智能化改造升级。探索新一代人工智能技术和先进制造技术深度融合，在制造各环节集成贯通和综合优化。布局完善新型信息基础设施，推进算力中心建设，探索优势产业链依托工业互联网平台建设“产业大脑”。鼓励企业灵活部署5G专网、IPv6、工业PON等技术，助力生产要素广泛互联和数据互通。</w:t>
      </w:r>
    </w:p>
    <w:p w14:paraId="102EA082">
      <w:pPr>
        <w:spacing w:line="600" w:lineRule="exact"/>
        <w:ind w:firstLine="640" w:firstLineChars="200"/>
        <w:jc w:val="both"/>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pP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w:t>
      </w:r>
      <w:r>
        <w:rPr>
          <w:rFonts w:hint="eastAsia" w:ascii="Times New Roman" w:hAnsi="Times New Roman" w:eastAsia="楷体_GB2312" w:cs="Times New Roman"/>
          <w:color w:val="000000" w:themeColor="text1"/>
          <w:kern w:val="0"/>
          <w:sz w:val="32"/>
          <w:szCs w:val="32"/>
          <w:highlight w:val="none"/>
          <w:lang w:val="en-US" w:eastAsia="zh-CN" w:bidi="ar"/>
          <w14:textFill>
            <w14:solidFill>
              <w14:schemeClr w14:val="tx1"/>
            </w14:solidFill>
          </w14:textFill>
        </w:rPr>
        <w:t>四</w:t>
      </w: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）实施培大育强，打造优质企业矩阵</w:t>
      </w:r>
    </w:p>
    <w:p w14:paraId="289089B8">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坚持内培外引并进、存量增量并举，优化资源配置，健全培育机制，实施精准服务，形成规模梯度合理、链群牵引力强、创新水平高、核心竞争力强、发展后劲足的企业梯队。</w:t>
      </w:r>
    </w:p>
    <w:p w14:paraId="3B562D9D">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做强头部企业。</w:t>
      </w:r>
      <w:r>
        <w:rPr>
          <w:rFonts w:ascii="Times New Roman" w:hAnsi="Times New Roman" w:eastAsia="方正仿宋_GBK" w:cs="Times New Roman"/>
          <w:color w:val="000000" w:themeColor="text1"/>
          <w:sz w:val="32"/>
          <w:szCs w:val="32"/>
          <w:highlight w:val="none"/>
          <w14:textFill>
            <w14:solidFill>
              <w14:schemeClr w14:val="tx1"/>
            </w14:solidFill>
          </w14:textFill>
        </w:rPr>
        <w:t>发挥产业链“链主”企业牵引作用，引进和培育配套企业，带动产业链上下游就近布局，提升本地配套水平与规模，打造百亿级链主企业、五十亿级链核企业矩阵。推动成熟企业加快股改、辅导与申报流程，引导企业积极对接沪深北交易所多层次资本市场，提速上市进程，实现跨越式发展。完善总部经济支持服务体系，积极引进外地企业来我区设立集团总部，支持本地优质企业通过投资并购、内生裂变、业务分离等方式，打造综合型、区域型、功能型总部企业。</w:t>
      </w:r>
    </w:p>
    <w:p w14:paraId="1E23DD13">
      <w:pPr>
        <w:widowControl/>
        <w:spacing w:line="600" w:lineRule="exact"/>
        <w:ind w:firstLine="640" w:firstLineChars="200"/>
        <w:jc w:val="both"/>
        <w:rPr>
          <w:rStyle w:val="9"/>
          <w:rFonts w:ascii="Times New Roman" w:hAnsi="Times New Roman" w:eastAsia="楷体_GB2312" w:cs="Times New Roman"/>
          <w:bCs/>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2. 做优专精特新企业。</w:t>
      </w:r>
      <w:r>
        <w:rPr>
          <w:rStyle w:val="9"/>
          <w:rFonts w:ascii="Times New Roman" w:hAnsi="Times New Roman" w:eastAsia="方正仿宋_GBK" w:cs="Times New Roman"/>
          <w:b w:val="0"/>
          <w:color w:val="000000" w:themeColor="text1"/>
          <w:sz w:val="32"/>
          <w:szCs w:val="32"/>
          <w:highlight w:val="none"/>
          <w14:textFill>
            <w14:solidFill>
              <w14:schemeClr w14:val="tx1"/>
            </w14:solidFill>
          </w14:textFill>
        </w:rPr>
        <w:t>聚焦重点产业链细分领域，深挖优质企业，分层分类推动企业走专业化、精细化、特色化、新颖化发展道路。支持企业聚焦主业、深耕细分领域，持续强化技术创新与产品迭代，培育一批专精特新企业、隐形冠军企业。遴选优质企业，支持提升产品质量、工艺水平与市场占有率，培育全球细分领域市场地位突出、掌握核心技术的制造业单项冠军企业。</w:t>
      </w:r>
    </w:p>
    <w:p w14:paraId="0DDC3CB7">
      <w:pPr>
        <w:widowControl/>
        <w:spacing w:line="600" w:lineRule="exact"/>
        <w:ind w:firstLine="640" w:firstLineChars="200"/>
        <w:jc w:val="both"/>
        <w:rPr>
          <w:rFonts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3. 壮大高新技术企业。</w:t>
      </w:r>
      <w:r>
        <w:rPr>
          <w:rFonts w:ascii="Times New Roman" w:hAnsi="Times New Roman" w:eastAsia="方正仿宋_GBK" w:cs="Times New Roman"/>
          <w:color w:val="000000" w:themeColor="text1"/>
          <w:sz w:val="32"/>
          <w:szCs w:val="32"/>
          <w:highlight w:val="none"/>
          <w14:textFill>
            <w14:solidFill>
              <w14:schemeClr w14:val="tx1"/>
            </w14:solidFill>
          </w14:textFill>
        </w:rPr>
        <w:t>完善科技型中小企业、高新技术企业梯度培育链条，建立常态化培育储备库。引导企业规范研发管理、加大科研投入，积极开展知识产权布局与技术成果转化。落实企业研发费用加计扣除、高新技术企业所得税减免、先进制造业企业增值税加计抵减等税收优惠政策。支持企业建设研发机构，持续提升自主创新能力，持续壮大高新技术企业队伍。</w:t>
      </w:r>
    </w:p>
    <w:p w14:paraId="22DAE0D2">
      <w:pPr>
        <w:widowControl/>
        <w:spacing w:line="600" w:lineRule="exact"/>
        <w:ind w:firstLine="640" w:firstLineChars="200"/>
        <w:jc w:val="both"/>
        <w:rPr>
          <w:rFonts w:ascii="Times New Roman" w:hAnsi="Times New Roman" w:eastAsia="方正仿宋_GBK" w:cs="Times New Roman"/>
          <w:color w:val="000000" w:themeColor="text1"/>
          <w:kern w:val="0"/>
          <w:sz w:val="32"/>
          <w:szCs w:val="32"/>
          <w:highlight w:val="none"/>
          <w:shd w:val="clear" w:color="auto" w:fill="FFFFFF"/>
          <w:lang w:bidi="ar"/>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4. 培育规模以上企业。</w:t>
      </w:r>
      <w:r>
        <w:rPr>
          <w:rFonts w:ascii="Times New Roman" w:hAnsi="Times New Roman" w:eastAsia="方正仿宋_GBK" w:cs="Times New Roman"/>
          <w:color w:val="000000" w:themeColor="text1"/>
          <w:sz w:val="32"/>
          <w:szCs w:val="32"/>
          <w:highlight w:val="none"/>
          <w14:textFill>
            <w14:solidFill>
              <w14:schemeClr w14:val="tx1"/>
            </w14:solidFill>
          </w14:textFill>
        </w:rPr>
        <w:t>围绕临规成长型企业、新建投产企业、潜力小微企业建立动态培育清单，构建“储备一批、培育一批、升规一批、做大一批”培育体系。强化部门协同联动，推行“一企一策”精准服务，聚焦融资、用工、市场拓展、政策申报、统计指导等企业发展堵点难点问题主动纾困，指导符合条件企业完善纳统资料，推动达标企业应入尽入、应统尽统。</w:t>
      </w:r>
    </w:p>
    <w:p w14:paraId="0319CD28">
      <w:pPr>
        <w:spacing w:line="600" w:lineRule="exact"/>
        <w:ind w:firstLine="640" w:firstLineChars="200"/>
        <w:jc w:val="both"/>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pP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w:t>
      </w:r>
      <w:r>
        <w:rPr>
          <w:rFonts w:hint="eastAsia" w:ascii="Times New Roman" w:hAnsi="Times New Roman" w:eastAsia="楷体_GB2312" w:cs="Times New Roman"/>
          <w:color w:val="000000" w:themeColor="text1"/>
          <w:kern w:val="0"/>
          <w:sz w:val="32"/>
          <w:szCs w:val="32"/>
          <w:highlight w:val="none"/>
          <w:lang w:val="en-US" w:eastAsia="zh-CN" w:bidi="ar"/>
          <w14:textFill>
            <w14:solidFill>
              <w14:schemeClr w14:val="tx1"/>
            </w14:solidFill>
          </w14:textFill>
        </w:rPr>
        <w:t>五</w:t>
      </w: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）坚守低碳路径，擦亮工业生态底色</w:t>
      </w:r>
    </w:p>
    <w:p w14:paraId="0FE02EFB">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shd w:val="clear" w:color="auto" w:fill="FFFFFF"/>
          <w14:textFill>
            <w14:solidFill>
              <w14:schemeClr w14:val="tx1"/>
            </w14:solidFill>
          </w14:textFill>
        </w:rPr>
        <w:t>推动产业结构高端化、能源消费低碳化、资源利用循环化、生产过程清洁化、制造流程数字化、产品供给绿色化全方位转型，构建绿色增长新引擎，锻造绿色竞争新优势。</w:t>
      </w:r>
    </w:p>
    <w:p w14:paraId="2677168C">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提升绿色制造水平。</w:t>
      </w:r>
      <w:r>
        <w:rPr>
          <w:rFonts w:ascii="Times New Roman" w:hAnsi="Times New Roman" w:eastAsia="方正仿宋_GBK" w:cs="Times New Roman"/>
          <w:color w:val="000000" w:themeColor="text1"/>
          <w:sz w:val="32"/>
          <w:szCs w:val="32"/>
          <w:highlight w:val="none"/>
          <w14:textFill>
            <w14:solidFill>
              <w14:schemeClr w14:val="tx1"/>
            </w14:solidFill>
          </w14:textFill>
        </w:rPr>
        <w:t>围绕能源消费低碳化、资源利用循环化、生产过程清洁化，鼓励企业建设智慧能源管理平台，推行产品全生命周期绿色管理，健全能源管控与环境监测体系，实施节能降碳和清洁生产改造，加快突破生产工艺深度脱碳、二氧化碳回收循环利用等关键技术，</w:t>
      </w:r>
      <w:r>
        <w:rPr>
          <w:rFonts w:ascii="Times New Roman" w:hAnsi="Times New Roman" w:eastAsia="方正仿宋_GBK" w:cs="Times New Roman"/>
          <w:color w:val="000000" w:themeColor="text1"/>
          <w:sz w:val="32"/>
          <w:szCs w:val="32"/>
          <w:highlight w:val="none"/>
          <w:shd w:val="clear" w:color="auto" w:fill="FFFFFF"/>
          <w14:textFill>
            <w14:solidFill>
              <w14:schemeClr w14:val="tx1"/>
            </w14:solidFill>
          </w14:textFill>
        </w:rPr>
        <w:t>推动产品向高端、智能、绿色、融合方向迭代升级。</w:t>
      </w:r>
    </w:p>
    <w:p w14:paraId="41A8CEA7">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shd w:val="clear" w:color="auto" w:fill="FFFFFF"/>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2. 扩大绿色能源消费。</w:t>
      </w:r>
      <w:r>
        <w:rPr>
          <w:rFonts w:ascii="Times New Roman" w:hAnsi="Times New Roman" w:eastAsia="方正仿宋_GBK" w:cs="Times New Roman"/>
          <w:color w:val="000000" w:themeColor="text1"/>
          <w:sz w:val="32"/>
          <w:szCs w:val="32"/>
          <w:highlight w:val="none"/>
          <w:shd w:val="clear" w:color="auto" w:fill="FFFFFF"/>
          <w14:textFill>
            <w14:solidFill>
              <w14:schemeClr w14:val="tx1"/>
            </w14:solidFill>
          </w14:textFill>
        </w:rPr>
        <w:t>优化工业能源消费结构，</w:t>
      </w:r>
      <w:r>
        <w:rPr>
          <w:rFonts w:ascii="Times New Roman" w:hAnsi="Times New Roman" w:eastAsia="方正仿宋_GBK" w:cs="Times New Roman"/>
          <w:color w:val="000000" w:themeColor="text1"/>
          <w:sz w:val="32"/>
          <w:szCs w:val="32"/>
          <w:highlight w:val="none"/>
          <w14:textFill>
            <w14:solidFill>
              <w14:schemeClr w14:val="tx1"/>
            </w14:solidFill>
          </w14:textFill>
        </w:rPr>
        <w:t>大力推动可再生能源、清洁能源替代传统化石能源。</w:t>
      </w:r>
      <w:r>
        <w:rPr>
          <w:rFonts w:ascii="Times New Roman" w:hAnsi="Times New Roman" w:eastAsia="方正仿宋_GBK" w:cs="Times New Roman"/>
          <w:color w:val="000000" w:themeColor="text1"/>
          <w:sz w:val="32"/>
          <w:szCs w:val="32"/>
          <w:highlight w:val="none"/>
          <w:shd w:val="clear" w:color="auto" w:fill="FFFFFF"/>
          <w14:textFill>
            <w14:solidFill>
              <w14:schemeClr w14:val="tx1"/>
            </w14:solidFill>
          </w14:textFill>
        </w:rPr>
        <w:t>有序推进重点用能行业</w:t>
      </w:r>
      <w:r>
        <w:rPr>
          <w:rFonts w:ascii="Times New Roman" w:hAnsi="Times New Roman" w:eastAsia="方正仿宋_GBK" w:cs="Times New Roman"/>
          <w:color w:val="000000" w:themeColor="text1"/>
          <w:sz w:val="32"/>
          <w:szCs w:val="32"/>
          <w:highlight w:val="none"/>
          <w14:textFill>
            <w14:solidFill>
              <w14:schemeClr w14:val="tx1"/>
            </w14:solidFill>
          </w14:textFill>
        </w:rPr>
        <w:t>扩大绿电消纳，积极推进分布式光伏、储能配套建设，健全绿电交易、绿证认购机制。</w:t>
      </w:r>
      <w:r>
        <w:rPr>
          <w:rFonts w:ascii="Times New Roman" w:hAnsi="Times New Roman" w:eastAsia="方正仿宋_GBK" w:cs="Times New Roman"/>
          <w:color w:val="000000" w:themeColor="text1"/>
          <w:sz w:val="32"/>
          <w:szCs w:val="32"/>
          <w:highlight w:val="none"/>
          <w:shd w:val="clear" w:color="auto" w:fill="FFFFFF"/>
          <w14:textFill>
            <w14:solidFill>
              <w14:schemeClr w14:val="tx1"/>
            </w14:solidFill>
          </w14:textFill>
        </w:rPr>
        <w:t>鼓励具备条件的企业建设工业绿色微电网，推进多能高效互补利用。</w:t>
      </w:r>
      <w:r>
        <w:rPr>
          <w:rFonts w:ascii="Times New Roman" w:hAnsi="Times New Roman" w:eastAsia="方正仿宋_GBK" w:cs="Times New Roman"/>
          <w:color w:val="000000" w:themeColor="text1"/>
          <w:sz w:val="32"/>
          <w:szCs w:val="32"/>
          <w:highlight w:val="none"/>
          <w14:textFill>
            <w14:solidFill>
              <w14:schemeClr w14:val="tx1"/>
            </w14:solidFill>
          </w14:textFill>
        </w:rPr>
        <w:t>加快用能设施绿色升级，推广高效节能装备与电气化改造，推动终端用能电气化、低碳化转型，提升绿色电力消纳比例。</w:t>
      </w:r>
    </w:p>
    <w:p w14:paraId="040CB5B0">
      <w:pPr>
        <w:widowControl/>
        <w:spacing w:line="600" w:lineRule="exact"/>
        <w:ind w:firstLine="640" w:firstLineChars="200"/>
        <w:jc w:val="both"/>
        <w:rPr>
          <w:rFonts w:ascii="Times New Roman" w:hAnsi="Times New Roman" w:eastAsia="方正黑体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3. 构建绿色制造体系。</w:t>
      </w:r>
      <w:r>
        <w:rPr>
          <w:rFonts w:ascii="Times New Roman" w:hAnsi="Times New Roman" w:eastAsia="方正仿宋_GBK" w:cs="Times New Roman"/>
          <w:color w:val="000000" w:themeColor="text1"/>
          <w:sz w:val="32"/>
          <w:szCs w:val="32"/>
          <w:highlight w:val="none"/>
          <w14:textFill>
            <w14:solidFill>
              <w14:schemeClr w14:val="tx1"/>
            </w14:solidFill>
          </w14:textFill>
        </w:rPr>
        <w:t>大力开展绿色产品、绿色工厂、绿色园区、绿色供应链管理企业创建与培育。鼓励企业加快突破核心技术，开发具有节能环保、安全可靠、寿命长、易回收等性能的绿色产品，</w:t>
      </w:r>
      <w:r>
        <w:rPr>
          <w:rFonts w:ascii="Times New Roman" w:hAnsi="Times New Roman" w:eastAsia="方正仿宋_GBK" w:cs="Times New Roman"/>
          <w:color w:val="000000" w:themeColor="text1"/>
          <w:sz w:val="32"/>
          <w:szCs w:val="32"/>
          <w:highlight w:val="none"/>
          <w:shd w:val="clear" w:color="auto" w:fill="FFFFFF"/>
          <w14:textFill>
            <w14:solidFill>
              <w14:schemeClr w14:val="tx1"/>
            </w14:solidFill>
          </w14:textFill>
        </w:rPr>
        <w:t>着力推广光伏储能、新能源汽车、绿色建材等绿色产品。围绕能源低碳化、资源高效化、生产洁净化、产品绿色化、用地集约化，发挥绿色工厂在制造业绿色低碳转型中的基础性和导向性作用，纵向形成国家、省、市三级联动的绿色工厂培育机制。引导海陵工业园区、高新技术产业开发区优化园区统筹、基础设施共享、产业循环耦合等方面，争创国家级绿色园区。鼓励</w:t>
      </w:r>
      <w:r>
        <w:rPr>
          <w:rFonts w:ascii="Times New Roman" w:hAnsi="Times New Roman" w:eastAsia="方正仿宋_GBK" w:cs="Times New Roman"/>
          <w:color w:val="000000" w:themeColor="text1"/>
          <w:sz w:val="32"/>
          <w:szCs w:val="32"/>
          <w:highlight w:val="none"/>
          <w14:textFill>
            <w14:solidFill>
              <w14:schemeClr w14:val="tx1"/>
            </w14:solidFill>
          </w14:textFill>
        </w:rPr>
        <w:t>产业链链主企业搭建数据共享、资源动态优化配置的绿色供应链管理信息平台，实现资源能源消耗、污染物排放、资源综合利用效率等数据传递和绿色管控，培育绿色供应链管理企业。</w:t>
      </w:r>
    </w:p>
    <w:p w14:paraId="76A2CC51">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4. 应用数字绿色技术。</w:t>
      </w:r>
      <w:r>
        <w:rPr>
          <w:rFonts w:ascii="Times New Roman" w:hAnsi="Times New Roman" w:eastAsia="方正仿宋_GBK" w:cs="Times New Roman"/>
          <w:color w:val="000000" w:themeColor="text1"/>
          <w:sz w:val="32"/>
          <w:szCs w:val="32"/>
          <w:highlight w:val="none"/>
          <w14:textFill>
            <w14:solidFill>
              <w14:schemeClr w14:val="tx1"/>
            </w14:solidFill>
          </w14:textFill>
        </w:rPr>
        <w:t>推进数字技术与生产设备、工艺流程深度融合，赋能生产过程节能减排。支持企业建设数字化能碳管理中心，聚焦能源管理、节能降碳、低碳能力等典型场景，推动重点用能设备上云上平台，实行生产设备能耗智能管理，推广标准化“工业互联网+绿色低碳”解决方案，提高能源使用效率。支持企业利用数字技术赋能生产流程再造、跨行业耦合、跨区域协同和跨领域配给，持续推动工业绿色低碳转型。</w:t>
      </w:r>
    </w:p>
    <w:p w14:paraId="6A07E237">
      <w:pPr>
        <w:spacing w:line="600" w:lineRule="exact"/>
        <w:ind w:firstLine="640" w:firstLineChars="200"/>
        <w:jc w:val="both"/>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pPr>
      <w:r>
        <w:rPr>
          <w:rFonts w:ascii="Times New Roman" w:hAnsi="Times New Roman" w:eastAsia="楷体_GB2312" w:cs="Times New Roman"/>
          <w:color w:val="000000" w:themeColor="text1"/>
          <w:kern w:val="0"/>
          <w:sz w:val="32"/>
          <w:szCs w:val="32"/>
          <w:highlight w:val="none"/>
          <w:lang w:bidi="ar"/>
          <w14:textFill>
            <w14:solidFill>
              <w14:schemeClr w14:val="tx1"/>
            </w14:solidFill>
          </w14:textFill>
        </w:rPr>
        <w:t>（六）优化政务服务，营造舒心发展生态</w:t>
      </w:r>
    </w:p>
    <w:p w14:paraId="4B7E593C">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方正仿宋_GBK" w:cs="Times New Roman"/>
          <w:color w:val="000000" w:themeColor="text1"/>
          <w:sz w:val="32"/>
          <w:szCs w:val="32"/>
          <w:highlight w:val="none"/>
          <w14:textFill>
            <w14:solidFill>
              <w14:schemeClr w14:val="tx1"/>
            </w14:solidFill>
          </w14:textFill>
        </w:rPr>
        <w:t>持续擦亮“到海陵、肯定行、一定赢”营商环境金字招牌，聚焦审批提速、项目保障、规范执法、惠企服务等领域，推动政务服务实现从“便捷服务”到“增值服务”优化升级，让企业家在海陵办事更有获得感、创业更有成就感、扎根更有归属感。</w:t>
      </w:r>
    </w:p>
    <w:p w14:paraId="493229F0">
      <w:pPr>
        <w:spacing w:line="600" w:lineRule="exact"/>
        <w:ind w:firstLine="640" w:firstLineChars="200"/>
        <w:jc w:val="both"/>
        <w:rPr>
          <w:rFonts w:ascii="Times New Roman" w:hAnsi="Times New Roman" w:eastAsia="方正仿宋_GBK" w:cs="Times New Roman"/>
          <w:b/>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加速涉企事项审批。</w:t>
      </w:r>
      <w:r>
        <w:rPr>
          <w:rFonts w:ascii="Times New Roman" w:hAnsi="Times New Roman" w:eastAsia="方正仿宋_GBK" w:cs="Times New Roman"/>
          <w:color w:val="000000" w:themeColor="text1"/>
          <w:sz w:val="32"/>
          <w:szCs w:val="32"/>
          <w:highlight w:val="none"/>
          <w14:textFill>
            <w14:solidFill>
              <w14:schemeClr w14:val="tx1"/>
            </w14:solidFill>
          </w14:textFill>
        </w:rPr>
        <w:t>推行“拿地即开工”，建立“全生命周期、全流程提速”的项目审批服务模式，高效运行“海陵审图专班”，推动落实用地规划许可、工程规划许可、施工许可等事项实现同步办理。对省级园区符合主导产业且环境影响相对较小的项目探索实施项目环评“承诺制”审批改革，由“批前审核”变为“批后复核”；在规划设计阶段提前介入，指导企业开展安全预评价，完善项目建设安全设施“三同时”管理，帮助企业打通堵点难点。</w:t>
      </w:r>
    </w:p>
    <w:p w14:paraId="247FBF8B">
      <w:pPr>
        <w:spacing w:line="600" w:lineRule="exact"/>
        <w:ind w:firstLine="640" w:firstLineChars="200"/>
        <w:jc w:val="both"/>
        <w:rPr>
          <w:rFonts w:ascii="Times New Roman" w:hAnsi="Times New Roman" w:eastAsia="方正仿宋_GBK" w:cs="Times New Roman"/>
          <w:b/>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2. 强化项目要素保障。</w:t>
      </w:r>
      <w:r>
        <w:rPr>
          <w:rFonts w:ascii="Times New Roman" w:hAnsi="Times New Roman" w:eastAsia="方正仿宋_GBK" w:cs="Times New Roman"/>
          <w:color w:val="000000" w:themeColor="text1"/>
          <w:sz w:val="32"/>
          <w:szCs w:val="32"/>
          <w:highlight w:val="none"/>
          <w14:textFill>
            <w14:solidFill>
              <w14:schemeClr w14:val="tx1"/>
            </w14:solidFill>
          </w14:textFill>
        </w:rPr>
        <w:t>优化工业用地规划指标、排污总量指标供给，全面摸排存量工业用地，支持通过产业更新、综合整治、协商处置等多种方式盘活存量低效土地、标准厂房，优先保障企业增资扩产需求，推动项目早开工、早建设、早达效。支持符合产业导向的增资扩产项目免收增容土地价款，引导企业提高容积率，鼓励实施“零增地”技改。</w:t>
      </w:r>
    </w:p>
    <w:p w14:paraId="53E40BCA">
      <w:pPr>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3. 规范涉企行政执法。</w:t>
      </w:r>
      <w:r>
        <w:rPr>
          <w:rFonts w:ascii="Times New Roman" w:hAnsi="Times New Roman" w:eastAsia="方正仿宋_GBK" w:cs="Times New Roman"/>
          <w:color w:val="000000" w:themeColor="text1"/>
          <w:sz w:val="32"/>
          <w:szCs w:val="32"/>
          <w:highlight w:val="none"/>
          <w14:textFill>
            <w14:solidFill>
              <w14:schemeClr w14:val="tx1"/>
            </w14:solidFill>
          </w14:textFill>
        </w:rPr>
        <w:t>统筹推行综合查一次、联合执法、扫码入企管理模式，依托企业信用实行分级分类监管，对守信企业降低抽查频次，最大限度减少对企业正常生产经营活动的不必要打扰。规范行政处罚自由裁量标准，细化量化处罚区间，全面落实首违不罚、轻微免罚、容错纠错机制，做到监管有力度、执法有温度，依法保护企业合法经营权益。</w:t>
      </w:r>
    </w:p>
    <w:p w14:paraId="6EA52B7B">
      <w:pPr>
        <w:spacing w:line="600" w:lineRule="exact"/>
        <w:ind w:firstLine="640" w:firstLineChars="200"/>
        <w:jc w:val="both"/>
        <w:rPr>
          <w:rFonts w:ascii="Times New Roman" w:hAnsi="Times New Roman" w:eastAsia="方正楷体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4. 推动涉企服务升级。</w:t>
      </w:r>
      <w:r>
        <w:rPr>
          <w:rFonts w:ascii="Times New Roman" w:hAnsi="Times New Roman" w:eastAsia="方正仿宋_GBK" w:cs="Times New Roman"/>
          <w:color w:val="000000" w:themeColor="text1"/>
          <w:sz w:val="32"/>
          <w:szCs w:val="32"/>
          <w:highlight w:val="none"/>
          <w14:textFill>
            <w14:solidFill>
              <w14:schemeClr w14:val="tx1"/>
            </w14:solidFill>
          </w14:textFill>
        </w:rPr>
        <w:t>落实区领导联系服务重点产业链、联系服务规上工业企业工作机制，常态化开展“海陵行”企业走访服务活动，围绕增资扩产、生产经营等方面，主动及时帮助解决诉求事项，实现闭环管理、跟踪问效，提振企业扎根海陵发展信心。</w:t>
      </w:r>
    </w:p>
    <w:p w14:paraId="51820B7D">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5. 加大政策金融支持。</w:t>
      </w:r>
      <w:r>
        <w:rPr>
          <w:rFonts w:ascii="Times New Roman" w:hAnsi="Times New Roman" w:eastAsia="方正仿宋_GBK" w:cs="Times New Roman"/>
          <w:color w:val="000000" w:themeColor="text1"/>
          <w:sz w:val="32"/>
          <w:szCs w:val="32"/>
          <w:highlight w:val="none"/>
          <w14:textFill>
            <w14:solidFill>
              <w14:schemeClr w14:val="tx1"/>
            </w14:solidFill>
          </w14:textFill>
        </w:rPr>
        <w:t>用好产业引导基金，加大对重点产业投资，着力强链补链延链、开辟高价值赛道，为企业发展不断注入新动能。发挥国家、省、市各级政策资源的撬动作用，帮助指导企业争创省级以上各类资金、荣誉。鼓励金融机构为企业增资扩产提供专项信贷支持，完善“海科担”“海科贷”科技金融服务体系，为企业发展注入金融活水。</w:t>
      </w:r>
    </w:p>
    <w:p w14:paraId="04FF935B">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6. 夯实人才发展支撑。</w:t>
      </w:r>
      <w:r>
        <w:rPr>
          <w:rFonts w:ascii="Times New Roman" w:hAnsi="Times New Roman" w:eastAsia="方正仿宋_GBK" w:cs="Times New Roman"/>
          <w:color w:val="000000" w:themeColor="text1"/>
          <w:sz w:val="32"/>
          <w:szCs w:val="32"/>
          <w:highlight w:val="none"/>
          <w14:textFill>
            <w14:solidFill>
              <w14:schemeClr w14:val="tx1"/>
            </w14:solidFill>
          </w14:textFill>
        </w:rPr>
        <w:t>以“泰州日”为纽带，“需求”进校园、“项目”访专家，提高引才用才精准度。发挥青年和人才服务联盟桥梁纽带作用，深入开展“三送三问——‘陵’距离才企直通车”活动，为人才解忧，为企业赋能，搭建交流平台。积极链接科技镇长团后方资源，定期组织团员深入企业一线“把脉问诊”，帮助企业发现技术瓶颈、制定解决方案。优化企业复合型人才的引进和培养模式，构建“技术+市场”双栖人才培养体系，让更多青年人才在制造领域成长成才、实现价值。</w:t>
      </w:r>
    </w:p>
    <w:p w14:paraId="5BC4AE79">
      <w:pPr>
        <w:widowControl/>
        <w:spacing w:line="600" w:lineRule="exact"/>
        <w:ind w:firstLine="640" w:firstLineChars="200"/>
        <w:jc w:val="both"/>
        <w:rPr>
          <w:rFonts w:ascii="Times New Roman" w:hAnsi="Times New Roman" w:eastAsia="方正黑体_GBK" w:cs="Times New Roman"/>
          <w:color w:val="000000" w:themeColor="text1"/>
          <w:sz w:val="32"/>
          <w:szCs w:val="32"/>
          <w:highlight w:val="none"/>
          <w14:textFill>
            <w14:solidFill>
              <w14:schemeClr w14:val="tx1"/>
            </w14:solidFill>
          </w14:textFill>
        </w:rPr>
      </w:pPr>
      <w:r>
        <w:rPr>
          <w:rFonts w:ascii="Times New Roman" w:hAnsi="Times New Roman" w:eastAsia="方正黑体_GBK" w:cs="Times New Roman"/>
          <w:color w:val="000000" w:themeColor="text1"/>
          <w:sz w:val="32"/>
          <w:szCs w:val="32"/>
          <w:highlight w:val="none"/>
          <w14:textFill>
            <w14:solidFill>
              <w14:schemeClr w14:val="tx1"/>
            </w14:solidFill>
          </w14:textFill>
        </w:rPr>
        <w:t>七、保障措施</w:t>
      </w:r>
    </w:p>
    <w:p w14:paraId="23663C70">
      <w:pPr>
        <w:widowControl/>
        <w:spacing w:line="600" w:lineRule="exact"/>
        <w:ind w:firstLine="640" w:firstLineChars="200"/>
        <w:jc w:val="both"/>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ascii="Times New Roman" w:hAnsi="Times New Roman" w:eastAsia="楷体_GB2312" w:cs="Times New Roman"/>
          <w:color w:val="000000" w:themeColor="text1"/>
          <w:sz w:val="32"/>
          <w:szCs w:val="32"/>
          <w:highlight w:val="none"/>
          <w14:textFill>
            <w14:solidFill>
              <w14:schemeClr w14:val="tx1"/>
            </w14:solidFill>
          </w14:textFill>
        </w:rPr>
        <w:t>1. 强化组织领导。</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落</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实区领导联系服务重点产业链、联系服务规上企业工作机制，压实部门、</w:t>
      </w:r>
      <w:r>
        <w:rPr>
          <w:rFonts w:ascii="Times New Roman" w:hAnsi="Times New Roman" w:eastAsia="方正仿宋_GBK" w:cs="Times New Roman"/>
          <w:color w:val="000000" w:themeColor="text1"/>
          <w:sz w:val="32"/>
          <w:szCs w:val="32"/>
          <w:highlight w:val="none"/>
          <w14:textFill>
            <w14:solidFill>
              <w14:schemeClr w14:val="tx1"/>
            </w14:solidFill>
          </w14:textFill>
        </w:rPr>
        <w:t>板块主体责任，构建“上下联动、部门协同、权责清晰”的工作体系，统筹协调产业发展、项目建设、企业服务等重点事项，</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确保规划各项部署落地有序、推进有力、落实到位</w:t>
      </w:r>
      <w:r>
        <w:rPr>
          <w:rFonts w:ascii="Times New Roman" w:hAnsi="Times New Roman" w:eastAsia="方正仿宋_GBK" w:cs="Times New Roman"/>
          <w:color w:val="000000" w:themeColor="text1"/>
          <w:sz w:val="32"/>
          <w:szCs w:val="32"/>
          <w:highlight w:val="none"/>
          <w14:textFill>
            <w14:solidFill>
              <w14:schemeClr w14:val="tx1"/>
            </w14:solidFill>
          </w14:textFill>
        </w:rPr>
        <w:t>。</w:t>
      </w:r>
    </w:p>
    <w:p w14:paraId="24295E6B">
      <w:pPr>
        <w:widowControl/>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楷体_GB2312" w:cs="Times New Roman"/>
          <w:color w:val="000000" w:themeColor="text1"/>
          <w:sz w:val="32"/>
          <w:szCs w:val="32"/>
          <w:highlight w:val="none"/>
          <w14:textFill>
            <w14:solidFill>
              <w14:schemeClr w14:val="tx1"/>
            </w14:solidFill>
          </w14:textFill>
        </w:rPr>
        <w:t>2. 完善</w:t>
      </w:r>
      <w:r>
        <w:rPr>
          <w:rFonts w:ascii="Times New Roman" w:hAnsi="Times New Roman" w:eastAsia="楷体_GB2312" w:cs="Times New Roman"/>
          <w:sz w:val="32"/>
          <w:highlight w:val="none"/>
        </w:rPr>
        <w:t>监督评价。</w:t>
      </w:r>
      <w:r>
        <w:rPr>
          <w:rFonts w:ascii="Times New Roman" w:hAnsi="Times New Roman" w:eastAsia="方正仿宋_GBK" w:cs="Times New Roman"/>
          <w:sz w:val="32"/>
          <w:szCs w:val="32"/>
          <w:highlight w:val="none"/>
        </w:rPr>
        <w:t>构建“动态监测、中期评估、整改提升”监督评价工作机制，在规划实施过程中及时总结各项指标完成情况、重点任务推进成效、重大项目落地进度，梳理存在的突出问题，针对性优化工作举措、调整工作重心，及时研判新形势、应对新变化、解决新问题，提升“十五五”工业规划实施成效。</w:t>
      </w:r>
    </w:p>
    <w:p w14:paraId="6217FE85">
      <w:pPr>
        <w:widowControl/>
        <w:spacing w:line="600" w:lineRule="exact"/>
        <w:ind w:firstLine="640" w:firstLineChars="200"/>
        <w:jc w:val="both"/>
        <w:rPr>
          <w:rFonts w:ascii="Times New Roman" w:hAnsi="Times New Roman" w:eastAsia="方正仿宋_GBK" w:cs="Times New Roman"/>
          <w:sz w:val="32"/>
          <w:szCs w:val="32"/>
          <w:highlight w:val="none"/>
        </w:rPr>
      </w:pPr>
      <w:r>
        <w:rPr>
          <w:rFonts w:ascii="Times New Roman" w:hAnsi="Times New Roman" w:eastAsia="楷体_GB2312" w:cs="Times New Roman"/>
          <w:sz w:val="32"/>
          <w:highlight w:val="none"/>
        </w:rPr>
        <w:t>3. 加大政策支持。</w:t>
      </w:r>
      <w:r>
        <w:rPr>
          <w:rFonts w:ascii="Times New Roman" w:hAnsi="Times New Roman" w:eastAsia="方正仿宋_GBK" w:cs="Times New Roman"/>
          <w:sz w:val="32"/>
          <w:szCs w:val="32"/>
          <w:highlight w:val="none"/>
        </w:rPr>
        <w:t>构建普惠性、功能性、精准化政策支持体系，完善财政、税收、金融、产业配套政策，全方位激活工业市场主体发展活力，打通政策落地“最后一公里”。强化财政资金保障，重点支持核心技术攻关、企业转型升级等关键领域，加大对中小企业纾困力度，落实减税降费、税费减免等惠企政策，切实降低企业生产经营成本</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rPr>
        <w:t>激活市场主体活力</w:t>
      </w:r>
      <w:r>
        <w:rPr>
          <w:rFonts w:ascii="Times New Roman" w:hAnsi="Times New Roman" w:eastAsia="方正仿宋_GBK" w:cs="Times New Roman"/>
          <w:sz w:val="32"/>
          <w:szCs w:val="32"/>
          <w:highlight w:val="none"/>
        </w:rPr>
        <w:t>。</w:t>
      </w:r>
    </w:p>
    <w:p w14:paraId="4D8C1160">
      <w:pPr>
        <w:widowControl/>
        <w:spacing w:line="600" w:lineRule="exact"/>
        <w:ind w:firstLine="640" w:firstLineChars="200"/>
        <w:jc w:val="both"/>
        <w:rPr>
          <w:rFonts w:ascii="Times New Roman" w:hAnsi="Times New Roman" w:eastAsia="方正仿宋_GBK" w:cs="Times New Roman"/>
          <w:sz w:val="32"/>
          <w:highlight w:val="none"/>
        </w:rPr>
      </w:pPr>
      <w:r>
        <w:rPr>
          <w:rFonts w:ascii="Times New Roman" w:hAnsi="Times New Roman" w:eastAsia="楷体_GB2312" w:cs="Times New Roman"/>
          <w:sz w:val="32"/>
          <w:highlight w:val="none"/>
        </w:rPr>
        <w:t>4. 统筹要素保障。</w:t>
      </w:r>
      <w:r>
        <w:rPr>
          <w:rFonts w:ascii="Times New Roman" w:hAnsi="Times New Roman" w:eastAsia="方正仿宋_GBK" w:cs="Times New Roman"/>
          <w:sz w:val="32"/>
          <w:highlight w:val="none"/>
        </w:rPr>
        <w:t>推动土地、能源、人才等生产要素向先进制造业倾斜集聚。优化工业用地保障，推广弹性供地、先租后让模式，加大存量用地盘活力度，优先保障先进制造业、战略性新兴产业项目落地。统筹能耗指标配置，规范能耗指标使用与动态监测，完善重点项目、重点企业用能保障机制。健全人才引育留用机制，强化产业人才、技能人才培育引进</w:t>
      </w:r>
      <w:r>
        <w:rPr>
          <w:rFonts w:hint="eastAsia" w:ascii="Times New Roman" w:hAnsi="Times New Roman" w:eastAsia="方正仿宋_GBK" w:cs="Times New Roman"/>
          <w:sz w:val="32"/>
          <w:highlight w:val="none"/>
        </w:rPr>
        <w:t>，</w:t>
      </w:r>
      <w:r>
        <w:rPr>
          <w:rFonts w:hint="default" w:ascii="Times New Roman" w:hAnsi="Times New Roman" w:eastAsia="方正仿宋_GBK" w:cs="Times New Roman"/>
          <w:b w:val="0"/>
          <w:bCs w:val="0"/>
          <w:sz w:val="32"/>
          <w:highlight w:val="none"/>
          <w:lang w:val="en-US" w:eastAsia="zh-CN"/>
        </w:rPr>
        <w:t>全面提升要素配置效能。</w:t>
      </w:r>
    </w:p>
    <w:sectPr>
      <w:footerReference r:id="rId3"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Arial Unicode MS"/>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86"/>
    <w:family w:val="script"/>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altName w:val="Arial Unicode MS"/>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7C39A">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20AE4">
                          <w:pPr>
                            <w:pStyle w:val="4"/>
                            <w:rPr>
                              <w:rFonts w:hint="eastAsia" w:ascii="宋体" w:hAnsi="宋体" w:eastAsia="宋体" w:cs="宋体"/>
                              <w:sz w:val="24"/>
                              <w:szCs w:val="40"/>
                            </w:rPr>
                          </w:pPr>
                          <w:r>
                            <w:rPr>
                              <w:rFonts w:hint="eastAsia" w:ascii="宋体" w:hAnsi="宋体" w:eastAsia="宋体" w:cs="宋体"/>
                              <w:sz w:val="24"/>
                              <w:szCs w:val="40"/>
                            </w:rPr>
                            <w:t xml:space="preserve">— </w:t>
                          </w: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1</w:t>
                          </w:r>
                          <w:r>
                            <w:rPr>
                              <w:rFonts w:hint="eastAsia" w:ascii="宋体" w:hAnsi="宋体" w:eastAsia="宋体" w:cs="宋体"/>
                              <w:sz w:val="24"/>
                              <w:szCs w:val="40"/>
                            </w:rPr>
                            <w:fldChar w:fldCharType="end"/>
                          </w:r>
                          <w:r>
                            <w:rPr>
                              <w:rFonts w:hint="eastAsia" w:ascii="宋体" w:hAnsi="宋体" w:eastAsia="宋体" w:cs="宋体"/>
                              <w:sz w:val="24"/>
                              <w:szCs w:val="4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9920AE4">
                    <w:pPr>
                      <w:pStyle w:val="4"/>
                      <w:rPr>
                        <w:rFonts w:hint="eastAsia" w:ascii="宋体" w:hAnsi="宋体" w:eastAsia="宋体" w:cs="宋体"/>
                        <w:sz w:val="24"/>
                        <w:szCs w:val="40"/>
                      </w:rPr>
                    </w:pPr>
                    <w:r>
                      <w:rPr>
                        <w:rFonts w:hint="eastAsia" w:ascii="宋体" w:hAnsi="宋体" w:eastAsia="宋体" w:cs="宋体"/>
                        <w:sz w:val="24"/>
                        <w:szCs w:val="40"/>
                      </w:rPr>
                      <w:t xml:space="preserve">— </w:t>
                    </w: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1</w:t>
                    </w:r>
                    <w:r>
                      <w:rPr>
                        <w:rFonts w:hint="eastAsia" w:ascii="宋体" w:hAnsi="宋体" w:eastAsia="宋体" w:cs="宋体"/>
                        <w:sz w:val="24"/>
                        <w:szCs w:val="40"/>
                      </w:rPr>
                      <w:fldChar w:fldCharType="end"/>
                    </w:r>
                    <w:r>
                      <w:rPr>
                        <w:rFonts w:hint="eastAsia" w:ascii="宋体" w:hAnsi="宋体" w:eastAsia="宋体" w:cs="宋体"/>
                        <w:sz w:val="24"/>
                        <w:szCs w:val="4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EF9D53"/>
    <w:multiLevelType w:val="singleLevel"/>
    <w:tmpl w:val="F7EF9D5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5150D"/>
    <w:rsid w:val="0003620D"/>
    <w:rsid w:val="00063A3A"/>
    <w:rsid w:val="0016496A"/>
    <w:rsid w:val="001931DF"/>
    <w:rsid w:val="001F0403"/>
    <w:rsid w:val="00241DC0"/>
    <w:rsid w:val="002526C1"/>
    <w:rsid w:val="00282CB8"/>
    <w:rsid w:val="0029354B"/>
    <w:rsid w:val="0037493A"/>
    <w:rsid w:val="003C7514"/>
    <w:rsid w:val="00450D29"/>
    <w:rsid w:val="004921A9"/>
    <w:rsid w:val="004B436A"/>
    <w:rsid w:val="005C3E5F"/>
    <w:rsid w:val="00606DAB"/>
    <w:rsid w:val="00634A88"/>
    <w:rsid w:val="00640C80"/>
    <w:rsid w:val="006565A4"/>
    <w:rsid w:val="00673B6A"/>
    <w:rsid w:val="006817DA"/>
    <w:rsid w:val="006D05EA"/>
    <w:rsid w:val="00741284"/>
    <w:rsid w:val="007726DB"/>
    <w:rsid w:val="007D266A"/>
    <w:rsid w:val="007E2237"/>
    <w:rsid w:val="007F0E24"/>
    <w:rsid w:val="0081303A"/>
    <w:rsid w:val="00813496"/>
    <w:rsid w:val="00847895"/>
    <w:rsid w:val="008610AA"/>
    <w:rsid w:val="00894AFD"/>
    <w:rsid w:val="008E0514"/>
    <w:rsid w:val="00913355"/>
    <w:rsid w:val="00921342"/>
    <w:rsid w:val="00973535"/>
    <w:rsid w:val="00985D5A"/>
    <w:rsid w:val="009A403C"/>
    <w:rsid w:val="009E00EE"/>
    <w:rsid w:val="00A27539"/>
    <w:rsid w:val="00A92974"/>
    <w:rsid w:val="00AA58EB"/>
    <w:rsid w:val="00AC52EF"/>
    <w:rsid w:val="00B00284"/>
    <w:rsid w:val="00B566C0"/>
    <w:rsid w:val="00BB7547"/>
    <w:rsid w:val="00C13237"/>
    <w:rsid w:val="00C15D2D"/>
    <w:rsid w:val="00C52758"/>
    <w:rsid w:val="00C729FA"/>
    <w:rsid w:val="00C82E91"/>
    <w:rsid w:val="00C90859"/>
    <w:rsid w:val="00D549D7"/>
    <w:rsid w:val="00D64047"/>
    <w:rsid w:val="00D65BA4"/>
    <w:rsid w:val="00DB160E"/>
    <w:rsid w:val="00DD6684"/>
    <w:rsid w:val="00E0136D"/>
    <w:rsid w:val="00E04315"/>
    <w:rsid w:val="00E62B9B"/>
    <w:rsid w:val="00EF4BEC"/>
    <w:rsid w:val="00F01A08"/>
    <w:rsid w:val="00F310CD"/>
    <w:rsid w:val="01CA7333"/>
    <w:rsid w:val="029F7B90"/>
    <w:rsid w:val="02EC74D4"/>
    <w:rsid w:val="035C13EF"/>
    <w:rsid w:val="03F46AE8"/>
    <w:rsid w:val="046F7317"/>
    <w:rsid w:val="05066288"/>
    <w:rsid w:val="05FA254C"/>
    <w:rsid w:val="06643518"/>
    <w:rsid w:val="067B65D5"/>
    <w:rsid w:val="06C41A66"/>
    <w:rsid w:val="06EB43B9"/>
    <w:rsid w:val="07256407"/>
    <w:rsid w:val="0766024C"/>
    <w:rsid w:val="07726747"/>
    <w:rsid w:val="07C539D9"/>
    <w:rsid w:val="083F0433"/>
    <w:rsid w:val="08A6207E"/>
    <w:rsid w:val="08C37D09"/>
    <w:rsid w:val="09777343"/>
    <w:rsid w:val="0A3A3142"/>
    <w:rsid w:val="0A7A502F"/>
    <w:rsid w:val="0A9868B1"/>
    <w:rsid w:val="0AF97AFD"/>
    <w:rsid w:val="0B1C7A13"/>
    <w:rsid w:val="0B800DCA"/>
    <w:rsid w:val="0B94510B"/>
    <w:rsid w:val="0B9D6EB6"/>
    <w:rsid w:val="0BB973F1"/>
    <w:rsid w:val="0BCA76D6"/>
    <w:rsid w:val="0BD07870"/>
    <w:rsid w:val="0BF40B08"/>
    <w:rsid w:val="0C615025"/>
    <w:rsid w:val="0CD27042"/>
    <w:rsid w:val="0CE50A49"/>
    <w:rsid w:val="0CF91880"/>
    <w:rsid w:val="0D5C31E3"/>
    <w:rsid w:val="0D825051"/>
    <w:rsid w:val="0DAC1F9A"/>
    <w:rsid w:val="0E7B0DC5"/>
    <w:rsid w:val="0EA552C5"/>
    <w:rsid w:val="0F9C3201"/>
    <w:rsid w:val="0FBA0F29"/>
    <w:rsid w:val="108F537B"/>
    <w:rsid w:val="11234C93"/>
    <w:rsid w:val="113135AB"/>
    <w:rsid w:val="11D91E4C"/>
    <w:rsid w:val="12F738CE"/>
    <w:rsid w:val="12F75244"/>
    <w:rsid w:val="15232B24"/>
    <w:rsid w:val="157555D2"/>
    <w:rsid w:val="159A1736"/>
    <w:rsid w:val="15BC39FE"/>
    <w:rsid w:val="16053E3B"/>
    <w:rsid w:val="16201DC1"/>
    <w:rsid w:val="164B18AA"/>
    <w:rsid w:val="166923AA"/>
    <w:rsid w:val="16C110FA"/>
    <w:rsid w:val="17434FE7"/>
    <w:rsid w:val="17B92A51"/>
    <w:rsid w:val="18427519"/>
    <w:rsid w:val="18C3587A"/>
    <w:rsid w:val="1920492C"/>
    <w:rsid w:val="192F2B88"/>
    <w:rsid w:val="19DA408E"/>
    <w:rsid w:val="1A707847"/>
    <w:rsid w:val="1AC90EE2"/>
    <w:rsid w:val="1B5D09A1"/>
    <w:rsid w:val="1B685065"/>
    <w:rsid w:val="1BF91BD9"/>
    <w:rsid w:val="1C7F63D0"/>
    <w:rsid w:val="1C8A777A"/>
    <w:rsid w:val="1CF64BD6"/>
    <w:rsid w:val="1D1638FE"/>
    <w:rsid w:val="1E004963"/>
    <w:rsid w:val="1E041A26"/>
    <w:rsid w:val="1E334EC9"/>
    <w:rsid w:val="1E534597"/>
    <w:rsid w:val="1E6F1D69"/>
    <w:rsid w:val="1F39106C"/>
    <w:rsid w:val="1F8256D6"/>
    <w:rsid w:val="1FFD529D"/>
    <w:rsid w:val="20CF669C"/>
    <w:rsid w:val="20D33193"/>
    <w:rsid w:val="211F281D"/>
    <w:rsid w:val="216F1A6C"/>
    <w:rsid w:val="21932304"/>
    <w:rsid w:val="21C060AE"/>
    <w:rsid w:val="220E6DDE"/>
    <w:rsid w:val="221C2891"/>
    <w:rsid w:val="22A36DFD"/>
    <w:rsid w:val="231E43D9"/>
    <w:rsid w:val="23206172"/>
    <w:rsid w:val="23C8541B"/>
    <w:rsid w:val="2409047A"/>
    <w:rsid w:val="241B3D6A"/>
    <w:rsid w:val="25174F68"/>
    <w:rsid w:val="25524FC9"/>
    <w:rsid w:val="2595079D"/>
    <w:rsid w:val="26505D2F"/>
    <w:rsid w:val="26937379"/>
    <w:rsid w:val="26A530F5"/>
    <w:rsid w:val="26D85BA8"/>
    <w:rsid w:val="276A7C26"/>
    <w:rsid w:val="27B97C21"/>
    <w:rsid w:val="27C7524A"/>
    <w:rsid w:val="280710D5"/>
    <w:rsid w:val="28D237D5"/>
    <w:rsid w:val="28F2703F"/>
    <w:rsid w:val="297E3B22"/>
    <w:rsid w:val="29C76606"/>
    <w:rsid w:val="2A021FA1"/>
    <w:rsid w:val="2A8B0445"/>
    <w:rsid w:val="2AE87221"/>
    <w:rsid w:val="2AE97B31"/>
    <w:rsid w:val="2BF27314"/>
    <w:rsid w:val="2E3045BF"/>
    <w:rsid w:val="2F868B1E"/>
    <w:rsid w:val="2FB968B0"/>
    <w:rsid w:val="30AD5DE1"/>
    <w:rsid w:val="30B230E1"/>
    <w:rsid w:val="30C27EBC"/>
    <w:rsid w:val="322C4C37"/>
    <w:rsid w:val="32696486"/>
    <w:rsid w:val="32876AA4"/>
    <w:rsid w:val="32F13710"/>
    <w:rsid w:val="33630C57"/>
    <w:rsid w:val="33B3063D"/>
    <w:rsid w:val="34467865"/>
    <w:rsid w:val="34534388"/>
    <w:rsid w:val="348F616A"/>
    <w:rsid w:val="35302934"/>
    <w:rsid w:val="35637118"/>
    <w:rsid w:val="363A18A2"/>
    <w:rsid w:val="364B3E9C"/>
    <w:rsid w:val="36700A13"/>
    <w:rsid w:val="3691652E"/>
    <w:rsid w:val="36926D9F"/>
    <w:rsid w:val="374A77A1"/>
    <w:rsid w:val="38C02D55"/>
    <w:rsid w:val="39353968"/>
    <w:rsid w:val="39E653CE"/>
    <w:rsid w:val="3A091DB0"/>
    <w:rsid w:val="3A314BD6"/>
    <w:rsid w:val="3AAC1575"/>
    <w:rsid w:val="3B05253A"/>
    <w:rsid w:val="3B1A1CE2"/>
    <w:rsid w:val="3B436A9F"/>
    <w:rsid w:val="3B4E4C98"/>
    <w:rsid w:val="3B7727FE"/>
    <w:rsid w:val="3BB36270"/>
    <w:rsid w:val="3BF3198A"/>
    <w:rsid w:val="3C353CC0"/>
    <w:rsid w:val="3D9730FC"/>
    <w:rsid w:val="3DD54D90"/>
    <w:rsid w:val="3DE3500A"/>
    <w:rsid w:val="3DF643B0"/>
    <w:rsid w:val="3E6F49F7"/>
    <w:rsid w:val="3E8E357E"/>
    <w:rsid w:val="3F250AC6"/>
    <w:rsid w:val="3F3611D0"/>
    <w:rsid w:val="3FFEBA23"/>
    <w:rsid w:val="40083B08"/>
    <w:rsid w:val="40A86A3E"/>
    <w:rsid w:val="418A303B"/>
    <w:rsid w:val="4219697C"/>
    <w:rsid w:val="42F03226"/>
    <w:rsid w:val="435B611E"/>
    <w:rsid w:val="43671C8F"/>
    <w:rsid w:val="437D4206"/>
    <w:rsid w:val="43924DDC"/>
    <w:rsid w:val="454C6E33"/>
    <w:rsid w:val="455763D4"/>
    <w:rsid w:val="45B93C95"/>
    <w:rsid w:val="45BD4032"/>
    <w:rsid w:val="45EB7E69"/>
    <w:rsid w:val="46325739"/>
    <w:rsid w:val="46C71A07"/>
    <w:rsid w:val="470D62D5"/>
    <w:rsid w:val="478E605E"/>
    <w:rsid w:val="482C1D47"/>
    <w:rsid w:val="48ED0C05"/>
    <w:rsid w:val="4AF16E0A"/>
    <w:rsid w:val="4AF56BDD"/>
    <w:rsid w:val="4BFE08C2"/>
    <w:rsid w:val="4C826645"/>
    <w:rsid w:val="4CEC75AB"/>
    <w:rsid w:val="4D8E237B"/>
    <w:rsid w:val="4D971704"/>
    <w:rsid w:val="4E8935CF"/>
    <w:rsid w:val="4ED5150D"/>
    <w:rsid w:val="4EF25498"/>
    <w:rsid w:val="4F0324C9"/>
    <w:rsid w:val="4F3E66C2"/>
    <w:rsid w:val="50051DB3"/>
    <w:rsid w:val="50611132"/>
    <w:rsid w:val="50916D9A"/>
    <w:rsid w:val="50FA66E7"/>
    <w:rsid w:val="511D0482"/>
    <w:rsid w:val="512B4806"/>
    <w:rsid w:val="51EE5C87"/>
    <w:rsid w:val="52EC7874"/>
    <w:rsid w:val="536E1328"/>
    <w:rsid w:val="53B23B9F"/>
    <w:rsid w:val="53BE3DC8"/>
    <w:rsid w:val="54EF2953"/>
    <w:rsid w:val="551A42E1"/>
    <w:rsid w:val="553F1E95"/>
    <w:rsid w:val="55E20E4E"/>
    <w:rsid w:val="561229FB"/>
    <w:rsid w:val="564341C3"/>
    <w:rsid w:val="564744E8"/>
    <w:rsid w:val="567C0F51"/>
    <w:rsid w:val="567D0363"/>
    <w:rsid w:val="567F6E81"/>
    <w:rsid w:val="56B71929"/>
    <w:rsid w:val="59284458"/>
    <w:rsid w:val="5A266782"/>
    <w:rsid w:val="5A4B1D33"/>
    <w:rsid w:val="5C123792"/>
    <w:rsid w:val="5C556A78"/>
    <w:rsid w:val="5C5908EB"/>
    <w:rsid w:val="5C9A2621"/>
    <w:rsid w:val="5CF43049"/>
    <w:rsid w:val="5D1C0C79"/>
    <w:rsid w:val="5D37C161"/>
    <w:rsid w:val="5D4971AD"/>
    <w:rsid w:val="5D5B6511"/>
    <w:rsid w:val="5DEF6881"/>
    <w:rsid w:val="5E5002A1"/>
    <w:rsid w:val="5EAF22C6"/>
    <w:rsid w:val="5FEC2A61"/>
    <w:rsid w:val="5FFE84FA"/>
    <w:rsid w:val="61410E5E"/>
    <w:rsid w:val="614B1939"/>
    <w:rsid w:val="616A117D"/>
    <w:rsid w:val="61E93D6F"/>
    <w:rsid w:val="62B60AA3"/>
    <w:rsid w:val="63633890"/>
    <w:rsid w:val="63E51271"/>
    <w:rsid w:val="64287B33"/>
    <w:rsid w:val="648B532D"/>
    <w:rsid w:val="64A92D88"/>
    <w:rsid w:val="64B217E4"/>
    <w:rsid w:val="659C2412"/>
    <w:rsid w:val="65CD4650"/>
    <w:rsid w:val="66405567"/>
    <w:rsid w:val="67D75971"/>
    <w:rsid w:val="68412787"/>
    <w:rsid w:val="687B40C5"/>
    <w:rsid w:val="688B671F"/>
    <w:rsid w:val="69112F74"/>
    <w:rsid w:val="696924EA"/>
    <w:rsid w:val="69715560"/>
    <w:rsid w:val="6A780104"/>
    <w:rsid w:val="6A820F38"/>
    <w:rsid w:val="6ACA62A4"/>
    <w:rsid w:val="6BD47E96"/>
    <w:rsid w:val="6C9162A3"/>
    <w:rsid w:val="6CB15C53"/>
    <w:rsid w:val="6CDD536D"/>
    <w:rsid w:val="6D632867"/>
    <w:rsid w:val="6D912485"/>
    <w:rsid w:val="6DAE0F9C"/>
    <w:rsid w:val="6E66568D"/>
    <w:rsid w:val="6EDFB8BB"/>
    <w:rsid w:val="6EF924E2"/>
    <w:rsid w:val="6F04535F"/>
    <w:rsid w:val="6F2569C5"/>
    <w:rsid w:val="6F656188"/>
    <w:rsid w:val="6FAF172B"/>
    <w:rsid w:val="6FF94189"/>
    <w:rsid w:val="707A2149"/>
    <w:rsid w:val="709D1149"/>
    <w:rsid w:val="70A02B99"/>
    <w:rsid w:val="71DC5B81"/>
    <w:rsid w:val="72460053"/>
    <w:rsid w:val="724C7C4B"/>
    <w:rsid w:val="73692A66"/>
    <w:rsid w:val="73936DC3"/>
    <w:rsid w:val="73A63477"/>
    <w:rsid w:val="73FB40EC"/>
    <w:rsid w:val="74203822"/>
    <w:rsid w:val="7433448A"/>
    <w:rsid w:val="746C497E"/>
    <w:rsid w:val="7520248E"/>
    <w:rsid w:val="754D77FC"/>
    <w:rsid w:val="75E73C38"/>
    <w:rsid w:val="767F69D7"/>
    <w:rsid w:val="771905F5"/>
    <w:rsid w:val="77C34425"/>
    <w:rsid w:val="77F44190"/>
    <w:rsid w:val="77FFD85C"/>
    <w:rsid w:val="78084089"/>
    <w:rsid w:val="781F2AF6"/>
    <w:rsid w:val="786931D0"/>
    <w:rsid w:val="787B1154"/>
    <w:rsid w:val="78872997"/>
    <w:rsid w:val="78EB282A"/>
    <w:rsid w:val="799707E6"/>
    <w:rsid w:val="7A0B1FF0"/>
    <w:rsid w:val="7A560790"/>
    <w:rsid w:val="7AA600E8"/>
    <w:rsid w:val="7AD58370"/>
    <w:rsid w:val="7B0C532B"/>
    <w:rsid w:val="7B600C28"/>
    <w:rsid w:val="7BBD1CA9"/>
    <w:rsid w:val="7BF80235"/>
    <w:rsid w:val="7C0915B9"/>
    <w:rsid w:val="7C35297D"/>
    <w:rsid w:val="7CEC6D4E"/>
    <w:rsid w:val="7CFFC1CC"/>
    <w:rsid w:val="7D980679"/>
    <w:rsid w:val="7D9D3C24"/>
    <w:rsid w:val="7DD525FB"/>
    <w:rsid w:val="7DFF3C2A"/>
    <w:rsid w:val="7E14190F"/>
    <w:rsid w:val="7E211B6B"/>
    <w:rsid w:val="7EBF8FD8"/>
    <w:rsid w:val="7EF3124C"/>
    <w:rsid w:val="7EF70D53"/>
    <w:rsid w:val="7F0F0DCE"/>
    <w:rsid w:val="7F48280B"/>
    <w:rsid w:val="7F8FA298"/>
    <w:rsid w:val="7FAB1873"/>
    <w:rsid w:val="867D0D78"/>
    <w:rsid w:val="A5EF3019"/>
    <w:rsid w:val="AFE32C14"/>
    <w:rsid w:val="B7D303EC"/>
    <w:rsid w:val="BACF08F6"/>
    <w:rsid w:val="BED7686B"/>
    <w:rsid w:val="BFEDB985"/>
    <w:rsid w:val="CDEA3A75"/>
    <w:rsid w:val="DCEFD4A8"/>
    <w:rsid w:val="DEBF31AC"/>
    <w:rsid w:val="DF7F5278"/>
    <w:rsid w:val="DFDFFA1C"/>
    <w:rsid w:val="DFEB2DE8"/>
    <w:rsid w:val="E3FB1D0B"/>
    <w:rsid w:val="E7EF8A4E"/>
    <w:rsid w:val="E9BF4F8D"/>
    <w:rsid w:val="EB57718A"/>
    <w:rsid w:val="EBF98D77"/>
    <w:rsid w:val="EE3A8294"/>
    <w:rsid w:val="EFBF4F1B"/>
    <w:rsid w:val="F4DDF36E"/>
    <w:rsid w:val="F6FD5C72"/>
    <w:rsid w:val="F6FFE330"/>
    <w:rsid w:val="F7B9A5C4"/>
    <w:rsid w:val="FD3D2880"/>
    <w:rsid w:val="FD73807C"/>
    <w:rsid w:val="FDEE37B0"/>
    <w:rsid w:val="FEE34D2C"/>
    <w:rsid w:val="FEFF11F1"/>
    <w:rsid w:val="FFADCA9D"/>
    <w:rsid w:val="FFB76583"/>
    <w:rsid w:val="FFB78CE0"/>
    <w:rsid w:val="FFDF66D0"/>
    <w:rsid w:val="FFE14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jc w:val="center"/>
    </w:pPr>
    <w:rPr>
      <w:rFonts w:ascii="方正大标宋简体" w:hAnsi="宋体" w:eastAsia="方正大标宋简体" w:cs="Times New Roman"/>
      <w:sz w:val="36"/>
      <w:szCs w:val="36"/>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Emphasis"/>
    <w:basedOn w:val="8"/>
    <w:qFormat/>
    <w:uiPriority w:val="0"/>
    <w:rPr>
      <w:i/>
    </w:rPr>
  </w:style>
  <w:style w:type="paragraph" w:customStyle="1" w:styleId="11">
    <w:name w:val="方正小标宋二号"/>
    <w:basedOn w:val="1"/>
    <w:qFormat/>
    <w:uiPriority w:val="0"/>
    <w:pPr>
      <w:spacing w:line="640" w:lineRule="exact"/>
      <w:jc w:val="center"/>
    </w:pPr>
    <w:rPr>
      <w:rFonts w:eastAsia="方正小标宋_GBK"/>
      <w:sz w:val="44"/>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9422</Words>
  <Characters>9635</Characters>
  <Lines>128</Lines>
  <Paragraphs>36</Paragraphs>
  <TotalTime>6</TotalTime>
  <ScaleCrop>false</ScaleCrop>
  <LinksUpToDate>false</LinksUpToDate>
  <CharactersWithSpaces>9652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2026-09-20T13:12:00Z</dcterms:created>
  <dc:creator>李逸群</dc:creator>
  <cp:lastModifiedBy>李逸群</cp:lastModifiedBy>
  <cp:lastPrinted>2026-09-23T02:34:00Z</cp:lastPrinted>
  <dcterms:modified xsi:type="dcterms:W3CDTF">2026-10-20T02:07:17Z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4C0CC252990E407BB4629C523ABE486D</vt:lpwstr>
  </property>
  <property fmtid="{D5CDD505-2E9C-101B-9397-08002B2CF9AE}" pid="4" name="KSOTemplateDocerSaveRecord">
    <vt:lpwstr>eyJoZGlkIjoiZmE2YjU0M2Y1ZGNhYzk0MjIwZTcwMmE3ZGNjZjI3OTQiLCJ1c2VySWQiOiIyNDIxMzkzNDkifQ==</vt:lpwstr>
  </property>
</Properties>
</file>