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1DFE0">
      <w:pPr>
        <w:keepNext w:val="0"/>
        <w:keepLines w:val="0"/>
        <w:pageBreakBefore w:val="0"/>
        <w:widowControl w:val="0"/>
        <w:kinsoku/>
        <w:wordWrap/>
        <w:overflowPunct/>
        <w:topLinePunct w:val="0"/>
        <w:autoSpaceDE w:val="0"/>
        <w:autoSpaceDN w:val="0"/>
        <w:bidi w:val="0"/>
        <w:adjustRightInd/>
        <w:snapToGrid/>
        <w:spacing w:line="594" w:lineRule="exact"/>
        <w:jc w:val="both"/>
        <w:textAlignment w:val="auto"/>
        <w:rPr>
          <w:rFonts w:hint="eastAsia" w:ascii="方正黑体_GBK" w:hAnsi="方正黑体_GBK" w:eastAsia="方正黑体_GBK" w:cs="方正黑体_GBK"/>
          <w:sz w:val="32"/>
          <w:szCs w:val="32"/>
          <w:highlight w:val="none"/>
          <w:u w:val="none"/>
          <w:lang w:val="en-US" w:eastAsia="zh-CN"/>
        </w:rPr>
      </w:pPr>
      <w:r>
        <w:rPr>
          <w:rFonts w:hint="eastAsia" w:ascii="方正黑体_GBK" w:hAnsi="方正黑体_GBK" w:eastAsia="方正黑体_GBK" w:cs="方正黑体_GBK"/>
          <w:sz w:val="32"/>
          <w:szCs w:val="32"/>
          <w:highlight w:val="none"/>
          <w:u w:val="none"/>
          <w:lang w:val="en-US" w:eastAsia="zh-CN"/>
        </w:rPr>
        <w:t>附件2</w:t>
      </w:r>
    </w:p>
    <w:p w14:paraId="6020086E">
      <w:pPr>
        <w:keepNext w:val="0"/>
        <w:keepLines w:val="0"/>
        <w:pageBreakBefore w:val="0"/>
        <w:widowControl w:val="0"/>
        <w:kinsoku/>
        <w:wordWrap/>
        <w:overflowPunct/>
        <w:topLinePunct w:val="0"/>
        <w:autoSpaceDE w:val="0"/>
        <w:autoSpaceDN w:val="0"/>
        <w:bidi w:val="0"/>
        <w:adjustRightInd/>
        <w:snapToGrid/>
        <w:spacing w:line="594" w:lineRule="exact"/>
        <w:jc w:val="both"/>
        <w:textAlignment w:val="auto"/>
        <w:rPr>
          <w:rFonts w:hint="default" w:ascii="Times New Roman" w:hAnsi="Times New Roman" w:eastAsia="方正小标宋_GBK" w:cs="Times New Roman"/>
          <w:sz w:val="44"/>
          <w:szCs w:val="44"/>
          <w:highlight w:val="none"/>
          <w:u w:val="none"/>
        </w:rPr>
      </w:pPr>
    </w:p>
    <w:p w14:paraId="006F81A4">
      <w:pPr>
        <w:keepNext w:val="0"/>
        <w:keepLines w:val="0"/>
        <w:pageBreakBefore w:val="0"/>
        <w:widowControl w:val="0"/>
        <w:kinsoku/>
        <w:wordWrap/>
        <w:overflowPunct/>
        <w:topLinePunct w:val="0"/>
        <w:autoSpaceDE w:val="0"/>
        <w:autoSpaceDN w:val="0"/>
        <w:bidi w:val="0"/>
        <w:adjustRightInd/>
        <w:snapToGrid/>
        <w:spacing w:line="594" w:lineRule="exact"/>
        <w:jc w:val="center"/>
        <w:textAlignment w:val="auto"/>
        <w:rPr>
          <w:rFonts w:hint="default" w:ascii="Times New Roman" w:hAnsi="Times New Roman" w:eastAsia="方正小标宋_GBK" w:cs="Times New Roman"/>
          <w:sz w:val="44"/>
          <w:szCs w:val="44"/>
          <w:highlight w:val="none"/>
          <w:u w:val="none"/>
        </w:rPr>
      </w:pPr>
      <w:r>
        <w:rPr>
          <w:rFonts w:hint="eastAsia" w:ascii="Times New Roman" w:hAnsi="Times New Roman" w:eastAsia="方正小标宋_GBK" w:cs="Times New Roman"/>
          <w:sz w:val="44"/>
          <w:szCs w:val="44"/>
          <w:highlight w:val="none"/>
          <w:u w:val="none"/>
          <w:lang w:val="en-US" w:eastAsia="zh-CN"/>
        </w:rPr>
        <w:t>泰州市</w:t>
      </w:r>
      <w:bookmarkStart w:id="0" w:name="_GoBack"/>
      <w:bookmarkEnd w:id="0"/>
      <w:r>
        <w:rPr>
          <w:rFonts w:hint="default" w:ascii="Times New Roman" w:hAnsi="Times New Roman" w:eastAsia="方正小标宋_GBK" w:cs="Times New Roman"/>
          <w:sz w:val="44"/>
          <w:szCs w:val="44"/>
          <w:highlight w:val="none"/>
          <w:u w:val="none"/>
        </w:rPr>
        <w:t>海陵区“十</w:t>
      </w:r>
      <w:r>
        <w:rPr>
          <w:rFonts w:hint="default" w:ascii="Times New Roman" w:hAnsi="Times New Roman" w:eastAsia="方正小标宋_GBK" w:cs="Times New Roman"/>
          <w:sz w:val="44"/>
          <w:szCs w:val="44"/>
          <w:highlight w:val="none"/>
          <w:u w:val="none"/>
          <w:lang w:val="en-US" w:eastAsia="zh-CN"/>
        </w:rPr>
        <w:t>五</w:t>
      </w:r>
      <w:r>
        <w:rPr>
          <w:rFonts w:hint="default" w:ascii="Times New Roman" w:hAnsi="Times New Roman" w:eastAsia="方正小标宋_GBK" w:cs="Times New Roman"/>
          <w:sz w:val="44"/>
          <w:szCs w:val="44"/>
          <w:highlight w:val="none"/>
          <w:u w:val="none"/>
        </w:rPr>
        <w:t>五”人才发展规划</w:t>
      </w:r>
    </w:p>
    <w:p w14:paraId="3B43BBC4">
      <w:pPr>
        <w:pStyle w:val="4"/>
        <w:keepNext w:val="0"/>
        <w:keepLines w:val="0"/>
        <w:pageBreakBefore w:val="0"/>
        <w:widowControl w:val="0"/>
        <w:kinsoku/>
        <w:wordWrap/>
        <w:overflowPunct/>
        <w:topLinePunct w:val="0"/>
        <w:bidi w:val="0"/>
        <w:adjustRightInd/>
        <w:snapToGrid/>
        <w:spacing w:line="594" w:lineRule="exact"/>
        <w:jc w:val="center"/>
        <w:textAlignment w:val="auto"/>
        <w:rPr>
          <w:rFonts w:hint="default" w:ascii="Times New Roman" w:hAnsi="Times New Roman" w:eastAsia="方正楷体_GBK" w:cs="Times New Roman"/>
          <w:sz w:val="32"/>
          <w:szCs w:val="32"/>
          <w:highlight w:val="none"/>
          <w:u w:val="none"/>
          <w:lang w:eastAsia="zh-CN"/>
        </w:rPr>
      </w:pPr>
    </w:p>
    <w:p w14:paraId="4761C7E5">
      <w:pPr>
        <w:pStyle w:val="4"/>
        <w:keepNext w:val="0"/>
        <w:keepLines w:val="0"/>
        <w:pageBreakBefore w:val="0"/>
        <w:widowControl w:val="0"/>
        <w:kinsoku/>
        <w:wordWrap/>
        <w:overflowPunct/>
        <w:topLinePunct w:val="0"/>
        <w:bidi w:val="0"/>
        <w:adjustRightInd/>
        <w:snapToGrid/>
        <w:spacing w:line="594" w:lineRule="exact"/>
        <w:jc w:val="center"/>
        <w:textAlignment w:val="auto"/>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u w:val="none"/>
          <w:lang w:eastAsia="zh-CN"/>
        </w:rPr>
        <w:t>（</w:t>
      </w:r>
      <w:r>
        <w:rPr>
          <w:rFonts w:hint="eastAsia" w:ascii="Times New Roman" w:hAnsi="Times New Roman" w:eastAsia="方正楷体_GBK" w:cs="Times New Roman"/>
          <w:sz w:val="32"/>
          <w:szCs w:val="32"/>
          <w:highlight w:val="none"/>
          <w:u w:val="none"/>
          <w:lang w:val="en-US" w:eastAsia="zh-CN"/>
        </w:rPr>
        <w:t>征求意见</w:t>
      </w:r>
      <w:r>
        <w:rPr>
          <w:rFonts w:hint="default" w:ascii="Times New Roman" w:hAnsi="Times New Roman" w:eastAsia="方正楷体_GBK" w:cs="Times New Roman"/>
          <w:sz w:val="32"/>
          <w:szCs w:val="32"/>
          <w:highlight w:val="none"/>
          <w:u w:val="none"/>
          <w:lang w:val="en-US" w:eastAsia="zh-CN"/>
        </w:rPr>
        <w:t>稿</w:t>
      </w:r>
      <w:r>
        <w:rPr>
          <w:rFonts w:hint="default" w:ascii="Times New Roman" w:hAnsi="Times New Roman" w:eastAsia="方正楷体_GBK" w:cs="Times New Roman"/>
          <w:sz w:val="32"/>
          <w:szCs w:val="32"/>
          <w:highlight w:val="none"/>
          <w:u w:val="none"/>
          <w:lang w:eastAsia="zh-CN"/>
        </w:rPr>
        <w:t>）</w:t>
      </w:r>
    </w:p>
    <w:p w14:paraId="76C9E15D">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rPr>
      </w:pPr>
    </w:p>
    <w:p w14:paraId="44E003FF">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eastAsia="zh-CN"/>
        </w:rPr>
      </w:pPr>
      <w:r>
        <w:rPr>
          <w:rFonts w:hint="default" w:ascii="Times New Roman" w:hAnsi="Times New Roman" w:eastAsia="方正仿宋_GBK" w:cs="Times New Roman"/>
          <w:szCs w:val="32"/>
          <w:highlight w:val="none"/>
          <w:u w:val="none"/>
        </w:rPr>
        <w:t>“十</w:t>
      </w:r>
      <w:r>
        <w:rPr>
          <w:rFonts w:hint="default" w:ascii="Times New Roman" w:hAnsi="Times New Roman" w:eastAsia="方正仿宋_GBK" w:cs="Times New Roman"/>
          <w:szCs w:val="32"/>
          <w:highlight w:val="none"/>
          <w:u w:val="none"/>
          <w:lang w:val="en-US" w:eastAsia="zh-CN"/>
        </w:rPr>
        <w:t>五</w:t>
      </w:r>
      <w:r>
        <w:rPr>
          <w:rFonts w:hint="default" w:ascii="Times New Roman" w:hAnsi="Times New Roman" w:eastAsia="方正仿宋_GBK" w:cs="Times New Roman"/>
          <w:szCs w:val="32"/>
          <w:highlight w:val="none"/>
          <w:u w:val="none"/>
        </w:rPr>
        <w:t>五”时期（202</w:t>
      </w:r>
      <w:r>
        <w:rPr>
          <w:rFonts w:hint="default" w:ascii="Times New Roman" w:hAnsi="Times New Roman" w:eastAsia="方正仿宋_GBK" w:cs="Times New Roman"/>
          <w:szCs w:val="32"/>
          <w:highlight w:val="none"/>
          <w:u w:val="none"/>
          <w:lang w:val="en-US" w:eastAsia="zh-CN"/>
        </w:rPr>
        <w:t>6</w:t>
      </w:r>
      <w:r>
        <w:rPr>
          <w:rFonts w:hint="default" w:ascii="Times New Roman" w:hAnsi="Times New Roman" w:eastAsia="方正仿宋_GBK" w:cs="Times New Roman"/>
          <w:szCs w:val="32"/>
          <w:highlight w:val="none"/>
          <w:u w:val="none"/>
        </w:rPr>
        <w:t>—20</w:t>
      </w:r>
      <w:r>
        <w:rPr>
          <w:rFonts w:hint="default" w:ascii="Times New Roman" w:hAnsi="Times New Roman" w:eastAsia="方正仿宋_GBK" w:cs="Times New Roman"/>
          <w:szCs w:val="32"/>
          <w:highlight w:val="none"/>
          <w:u w:val="none"/>
          <w:lang w:val="en-US" w:eastAsia="zh-CN"/>
        </w:rPr>
        <w:t>30</w:t>
      </w:r>
      <w:r>
        <w:rPr>
          <w:rFonts w:hint="default" w:ascii="Times New Roman" w:hAnsi="Times New Roman" w:eastAsia="方正仿宋_GBK" w:cs="Times New Roman"/>
          <w:szCs w:val="32"/>
          <w:highlight w:val="none"/>
          <w:u w:val="none"/>
        </w:rPr>
        <w:t>年）是海陵区</w:t>
      </w:r>
      <w:r>
        <w:rPr>
          <w:rFonts w:hint="default" w:ascii="Times New Roman" w:hAnsi="Times New Roman" w:eastAsia="方正仿宋_GBK" w:cs="Times New Roman"/>
          <w:szCs w:val="32"/>
          <w:highlight w:val="none"/>
          <w:u w:val="none"/>
          <w:lang w:eastAsia="zh-CN"/>
        </w:rPr>
        <w:t>“</w:t>
      </w:r>
      <w:r>
        <w:rPr>
          <w:rFonts w:hint="default" w:ascii="Times New Roman" w:hAnsi="Times New Roman" w:eastAsia="方正仿宋_GBK" w:cs="Times New Roman"/>
          <w:szCs w:val="32"/>
          <w:highlight w:val="none"/>
          <w:u w:val="none"/>
          <w:lang w:val="en-US" w:eastAsia="zh-CN"/>
        </w:rPr>
        <w:t>牢记嘱托、感恩奋进、走在前列</w:t>
      </w:r>
      <w:r>
        <w:rPr>
          <w:rFonts w:hint="default" w:ascii="Times New Roman" w:hAnsi="Times New Roman" w:eastAsia="方正仿宋_GBK" w:cs="Times New Roman"/>
          <w:szCs w:val="32"/>
          <w:highlight w:val="none"/>
          <w:u w:val="none"/>
          <w:lang w:eastAsia="zh-CN"/>
        </w:rPr>
        <w:t>”</w:t>
      </w:r>
      <w:r>
        <w:rPr>
          <w:rFonts w:hint="default" w:ascii="Times New Roman" w:hAnsi="Times New Roman" w:eastAsia="方正仿宋_GBK" w:cs="Times New Roman"/>
          <w:szCs w:val="32"/>
          <w:highlight w:val="none"/>
          <w:u w:val="none"/>
          <w:lang w:val="en-US" w:eastAsia="zh-CN"/>
        </w:rPr>
        <w:t>的重要时期，是奋力担起</w:t>
      </w:r>
      <w:r>
        <w:rPr>
          <w:rFonts w:hint="default" w:ascii="Times New Roman" w:hAnsi="Times New Roman" w:eastAsia="方正仿宋_GBK" w:cs="Times New Roman"/>
          <w:szCs w:val="32"/>
          <w:highlight w:val="none"/>
          <w:u w:val="none"/>
        </w:rPr>
        <w:t>“扛牢主城担当、建强中心城区”使命任务的</w:t>
      </w:r>
      <w:r>
        <w:rPr>
          <w:rFonts w:hint="default" w:ascii="Times New Roman" w:hAnsi="Times New Roman" w:eastAsia="方正仿宋_GBK" w:cs="Times New Roman"/>
          <w:szCs w:val="32"/>
          <w:highlight w:val="none"/>
          <w:u w:val="none"/>
          <w:lang w:val="en-US" w:eastAsia="zh-CN"/>
        </w:rPr>
        <w:t>关键阶段</w:t>
      </w:r>
      <w:r>
        <w:rPr>
          <w:rFonts w:hint="default" w:ascii="Times New Roman" w:hAnsi="Times New Roman" w:eastAsia="方正仿宋_GBK" w:cs="Times New Roman"/>
          <w:szCs w:val="32"/>
          <w:highlight w:val="none"/>
          <w:u w:val="none"/>
        </w:rPr>
        <w:t>。</w:t>
      </w:r>
      <w:r>
        <w:rPr>
          <w:rFonts w:hint="default" w:ascii="Times New Roman" w:hAnsi="Times New Roman" w:eastAsia="方正仿宋_GBK" w:cs="Times New Roman"/>
          <w:szCs w:val="32"/>
          <w:highlight w:val="none"/>
          <w:u w:val="none"/>
          <w:lang w:val="en-US" w:eastAsia="zh-CN"/>
        </w:rPr>
        <w:t>为加快推进创新引领高质量发展，全力实现</w:t>
      </w:r>
      <w:r>
        <w:rPr>
          <w:rFonts w:hint="default" w:ascii="Times New Roman" w:hAnsi="Times New Roman" w:eastAsia="方正仿宋_GBK" w:cs="Times New Roman"/>
          <w:szCs w:val="32"/>
          <w:highlight w:val="none"/>
          <w:u w:val="none"/>
        </w:rPr>
        <w:t>“冲击千亿主城、打造幸福标杆”目标</w:t>
      </w:r>
      <w:r>
        <w:rPr>
          <w:rFonts w:hint="default" w:ascii="Times New Roman" w:hAnsi="Times New Roman" w:eastAsia="方正仿宋_GBK" w:cs="Times New Roman"/>
          <w:szCs w:val="32"/>
          <w:highlight w:val="none"/>
          <w:u w:val="none"/>
          <w:lang w:val="en-US" w:eastAsia="zh-CN"/>
        </w:rPr>
        <w:t>任务</w:t>
      </w:r>
      <w:r>
        <w:rPr>
          <w:rFonts w:hint="default" w:ascii="Times New Roman" w:hAnsi="Times New Roman" w:eastAsia="方正仿宋_GBK" w:cs="Times New Roman"/>
          <w:szCs w:val="32"/>
          <w:highlight w:val="none"/>
          <w:u w:val="none"/>
        </w:rPr>
        <w:t>，根据《泰州市海陵区国民经济和社会发展第十</w:t>
      </w:r>
      <w:r>
        <w:rPr>
          <w:rFonts w:hint="default" w:ascii="Times New Roman" w:hAnsi="Times New Roman" w:eastAsia="方正仿宋_GBK" w:cs="Times New Roman"/>
          <w:szCs w:val="32"/>
          <w:highlight w:val="none"/>
          <w:u w:val="none"/>
          <w:lang w:val="en-US" w:eastAsia="zh-CN"/>
        </w:rPr>
        <w:t>五</w:t>
      </w:r>
      <w:r>
        <w:rPr>
          <w:rFonts w:hint="default" w:ascii="Times New Roman" w:hAnsi="Times New Roman" w:eastAsia="方正仿宋_GBK" w:cs="Times New Roman"/>
          <w:szCs w:val="32"/>
          <w:highlight w:val="none"/>
          <w:u w:val="none"/>
        </w:rPr>
        <w:t>个五年规划纲要》</w:t>
      </w:r>
      <w:r>
        <w:rPr>
          <w:rFonts w:hint="default" w:ascii="Times New Roman" w:hAnsi="Times New Roman" w:eastAsia="方正仿宋_GBK" w:cs="Times New Roman"/>
          <w:szCs w:val="32"/>
          <w:highlight w:val="none"/>
          <w:u w:val="none"/>
          <w:lang w:eastAsia="zh-CN"/>
        </w:rPr>
        <w:t>，</w:t>
      </w:r>
      <w:r>
        <w:rPr>
          <w:rFonts w:hint="default" w:ascii="Times New Roman" w:hAnsi="Times New Roman" w:eastAsia="方正仿宋_GBK" w:cs="Times New Roman"/>
          <w:szCs w:val="32"/>
          <w:highlight w:val="none"/>
          <w:u w:val="none"/>
          <w:lang w:val="en-US" w:eastAsia="zh-CN"/>
        </w:rPr>
        <w:t>结合本区实际，</w:t>
      </w:r>
      <w:r>
        <w:rPr>
          <w:rFonts w:hint="default" w:ascii="Times New Roman" w:hAnsi="Times New Roman" w:eastAsia="方正仿宋_GBK" w:cs="Times New Roman"/>
          <w:szCs w:val="32"/>
          <w:highlight w:val="none"/>
          <w:u w:val="none"/>
        </w:rPr>
        <w:t>制定本规划。</w:t>
      </w:r>
    </w:p>
    <w:p w14:paraId="5249873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黑体_GBK" w:cs="Times New Roman"/>
          <w:szCs w:val="32"/>
          <w:highlight w:val="none"/>
          <w:u w:val="none"/>
          <w:lang w:val="en-US" w:eastAsia="zh-CN"/>
        </w:rPr>
      </w:pPr>
      <w:r>
        <w:rPr>
          <w:rFonts w:hint="default" w:ascii="Times New Roman" w:hAnsi="Times New Roman" w:eastAsia="方正黑体_GBK" w:cs="Times New Roman"/>
          <w:szCs w:val="32"/>
          <w:highlight w:val="none"/>
          <w:u w:val="none"/>
        </w:rPr>
        <w:t>一、</w:t>
      </w:r>
      <w:r>
        <w:rPr>
          <w:rFonts w:hint="default" w:ascii="Times New Roman" w:hAnsi="Times New Roman" w:eastAsia="方正黑体_GBK" w:cs="Times New Roman"/>
          <w:szCs w:val="32"/>
          <w:highlight w:val="none"/>
          <w:u w:val="none"/>
          <w:lang w:val="en-US" w:eastAsia="zh-CN"/>
        </w:rPr>
        <w:t>工作基础和发展形势</w:t>
      </w:r>
    </w:p>
    <w:p w14:paraId="0E2C6A5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eastAsia="zh-CN"/>
        </w:rPr>
      </w:pPr>
      <w:r>
        <w:rPr>
          <w:rFonts w:hint="default" w:ascii="Times New Roman" w:hAnsi="Times New Roman" w:eastAsia="方正楷体_GBK" w:cs="Times New Roman"/>
          <w:szCs w:val="32"/>
          <w:highlight w:val="none"/>
          <w:u w:val="none"/>
        </w:rPr>
        <w:t>（</w:t>
      </w:r>
      <w:r>
        <w:rPr>
          <w:rFonts w:hint="default" w:ascii="Times New Roman" w:hAnsi="Times New Roman" w:eastAsia="方正楷体_GBK" w:cs="Times New Roman"/>
          <w:szCs w:val="32"/>
          <w:highlight w:val="none"/>
          <w:u w:val="none"/>
          <w:lang w:val="en-US" w:eastAsia="zh-CN"/>
        </w:rPr>
        <w:t>一</w:t>
      </w:r>
      <w:r>
        <w:rPr>
          <w:rFonts w:hint="default" w:ascii="Times New Roman" w:hAnsi="Times New Roman" w:eastAsia="方正楷体_GBK" w:cs="Times New Roman"/>
          <w:szCs w:val="32"/>
          <w:highlight w:val="none"/>
          <w:u w:val="none"/>
        </w:rPr>
        <w:t>）成绩总结</w:t>
      </w:r>
    </w:p>
    <w:p w14:paraId="39B9CC4B">
      <w:pPr>
        <w:pStyle w:val="4"/>
        <w:keepNext w:val="0"/>
        <w:keepLines w:val="0"/>
        <w:pageBreakBefore w:val="0"/>
        <w:widowControl w:val="0"/>
        <w:kinsoku/>
        <w:wordWrap/>
        <w:overflowPunct/>
        <w:topLinePunct w:val="0"/>
        <w:bidi w:val="0"/>
        <w:adjustRightInd/>
        <w:snapToGrid/>
        <w:spacing w:line="594" w:lineRule="exact"/>
        <w:ind w:firstLine="640" w:firstLineChars="200"/>
        <w:jc w:val="both"/>
        <w:textAlignment w:val="auto"/>
        <w:rPr>
          <w:rFonts w:hint="default" w:ascii="Times New Roman" w:hAnsi="Times New Roman" w:eastAsia="方正仿宋_GBK" w:cs="Times New Roman"/>
          <w:kern w:val="2"/>
          <w:sz w:val="32"/>
          <w:szCs w:val="32"/>
          <w:highlight w:val="none"/>
          <w:u w:val="none"/>
          <w:lang w:val="en-US" w:eastAsia="zh-CN" w:bidi="ar-SA"/>
        </w:rPr>
      </w:pPr>
      <w:r>
        <w:rPr>
          <w:rFonts w:hint="default" w:ascii="Times New Roman" w:hAnsi="Times New Roman" w:eastAsia="方正仿宋_GBK" w:cs="Times New Roman"/>
          <w:kern w:val="2"/>
          <w:sz w:val="32"/>
          <w:szCs w:val="32"/>
          <w:highlight w:val="none"/>
          <w:u w:val="none"/>
          <w:lang w:val="en-US" w:eastAsia="zh-CN" w:bidi="ar-SA"/>
        </w:rPr>
        <w:t>“十四五”期间，海陵区坚持以习近平新时代中国特色社会主义思想为指导，全面贯彻落实党中央和省、市委关于人才工作的决策部署，始终坚持党管人才原则，持续加大人才投入力度，统筹推进各类人才队伍建设，人才资源规模不断扩大，人才发展环境持续优化，顺利完成人才工作各项目标任务，为“十五五”时期全区人才工作高质量发展奠定了坚实基础。</w:t>
      </w:r>
    </w:p>
    <w:p w14:paraId="749A3CF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1.</w:t>
      </w:r>
      <w:r>
        <w:rPr>
          <w:rFonts w:hint="default" w:ascii="Times New Roman" w:hAnsi="Times New Roman" w:eastAsia="方正仿宋_GBK" w:cs="Times New Roman"/>
          <w:b/>
          <w:bCs/>
          <w:szCs w:val="32"/>
          <w:highlight w:val="none"/>
          <w:u w:val="none"/>
          <w:lang w:val="en-US" w:eastAsia="zh-CN"/>
        </w:rPr>
        <w:t>体制机制先行突破</w:t>
      </w:r>
    </w:p>
    <w:p w14:paraId="06B5B89A">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 w:val="32"/>
          <w:szCs w:val="32"/>
          <w:highlight w:val="none"/>
          <w:u w:val="none"/>
          <w:lang w:val="en-US" w:eastAsia="zh-CN"/>
        </w:rPr>
      </w:pPr>
      <w:r>
        <w:rPr>
          <w:rFonts w:hint="default" w:ascii="Times New Roman" w:hAnsi="Times New Roman" w:eastAsia="方正仿宋_GBK" w:cs="Times New Roman"/>
          <w:sz w:val="32"/>
          <w:szCs w:val="32"/>
          <w:highlight w:val="none"/>
          <w:u w:val="none"/>
          <w:lang w:val="en-US" w:eastAsia="zh-CN"/>
        </w:rPr>
        <w:t>聚焦深化人才发展体制机制改革要求，率先成立全省首家区委人才工作局，全面加强党管人才统筹力。组建苏中地区首家县级人才集团——海纳人才科创集团，2024年获聘“长三角人才一体化发展人才合伙人”。创新构建“行政+市场”双轮驱动机制，成立青年和人才服务联盟，凝聚人才工作强大合力。</w:t>
      </w:r>
    </w:p>
    <w:p w14:paraId="4228A688">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2.</w:t>
      </w:r>
      <w:r>
        <w:rPr>
          <w:rFonts w:hint="default" w:ascii="Times New Roman" w:hAnsi="Times New Roman" w:eastAsia="方正仿宋_GBK" w:cs="Times New Roman"/>
          <w:b/>
          <w:bCs/>
          <w:szCs w:val="32"/>
          <w:highlight w:val="none"/>
          <w:u w:val="none"/>
          <w:lang w:val="en-US" w:eastAsia="zh-CN"/>
        </w:rPr>
        <w:t>人才引育成果明显</w:t>
      </w:r>
    </w:p>
    <w:p w14:paraId="3F717E09">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围绕产业链布局人才链，依托“新车智数”主导产业，累计引进高层次人才2131人</w:t>
      </w:r>
      <w:r>
        <w:rPr>
          <w:rFonts w:hint="default" w:ascii="Times New Roman" w:hAnsi="Times New Roman" w:eastAsia="方正仿宋_GBK" w:cs="Times New Roman"/>
          <w:b w:val="0"/>
          <w:bCs w:val="0"/>
          <w:szCs w:val="32"/>
          <w:highlight w:val="none"/>
          <w:u w:val="none"/>
        </w:rPr>
        <w:t>、省“科技副总”</w:t>
      </w:r>
      <w:r>
        <w:rPr>
          <w:rFonts w:hint="default" w:ascii="Times New Roman" w:hAnsi="Times New Roman" w:eastAsia="方正仿宋_GBK" w:cs="Times New Roman"/>
          <w:b w:val="0"/>
          <w:bCs w:val="0"/>
          <w:szCs w:val="32"/>
          <w:highlight w:val="none"/>
          <w:u w:val="none"/>
          <w:lang w:val="en-US" w:eastAsia="zh-CN"/>
        </w:rPr>
        <w:t>38</w:t>
      </w:r>
      <w:r>
        <w:rPr>
          <w:rFonts w:hint="default" w:ascii="Times New Roman" w:hAnsi="Times New Roman" w:eastAsia="方正仿宋_GBK" w:cs="Times New Roman"/>
          <w:b w:val="0"/>
          <w:bCs w:val="0"/>
          <w:szCs w:val="32"/>
          <w:highlight w:val="none"/>
          <w:u w:val="none"/>
        </w:rPr>
        <w:t>人</w:t>
      </w:r>
      <w:r>
        <w:rPr>
          <w:rFonts w:hint="default" w:ascii="Times New Roman" w:hAnsi="Times New Roman" w:eastAsia="方正仿宋_GBK" w:cs="Times New Roman"/>
          <w:b w:val="0"/>
          <w:bCs w:val="0"/>
          <w:szCs w:val="32"/>
          <w:highlight w:val="none"/>
          <w:u w:val="none"/>
          <w:lang w:eastAsia="zh-CN"/>
        </w:rPr>
        <w:t>。支持龙头企业、产业链相关企业和高校院所联合开展重大科技攻关，1个项目成功入选省级顶尖人才计划，实现全市“零”的突破</w:t>
      </w:r>
      <w:r>
        <w:rPr>
          <w:rFonts w:hint="default" w:ascii="Times New Roman" w:hAnsi="Times New Roman" w:eastAsia="方正仿宋_GBK" w:cs="Times New Roman"/>
          <w:b w:val="0"/>
          <w:bCs w:val="0"/>
          <w:szCs w:val="32"/>
          <w:highlight w:val="none"/>
          <w:u w:val="none"/>
          <w:lang w:val="en-US" w:eastAsia="zh-CN"/>
        </w:rPr>
        <w:t>。“十四五”期间，累计</w:t>
      </w:r>
      <w:r>
        <w:rPr>
          <w:rFonts w:hint="default" w:ascii="Times New Roman" w:hAnsi="Times New Roman" w:eastAsia="方正仿宋_GBK" w:cs="Times New Roman"/>
          <w:b w:val="0"/>
          <w:bCs w:val="0"/>
          <w:szCs w:val="32"/>
          <w:highlight w:val="none"/>
          <w:u w:val="none"/>
        </w:rPr>
        <w:t>入选国家重大人才工程</w:t>
      </w:r>
      <w:r>
        <w:rPr>
          <w:rFonts w:hint="default" w:ascii="Times New Roman" w:hAnsi="Times New Roman" w:eastAsia="方正仿宋_GBK" w:cs="Times New Roman"/>
          <w:b w:val="0"/>
          <w:bCs w:val="0"/>
          <w:szCs w:val="32"/>
          <w:highlight w:val="none"/>
          <w:u w:val="none"/>
          <w:lang w:val="en-US" w:eastAsia="zh-CN"/>
        </w:rPr>
        <w:t>18</w:t>
      </w:r>
      <w:r>
        <w:rPr>
          <w:rFonts w:hint="default" w:ascii="Times New Roman" w:hAnsi="Times New Roman" w:eastAsia="方正仿宋_GBK" w:cs="Times New Roman"/>
          <w:b w:val="0"/>
          <w:bCs w:val="0"/>
          <w:szCs w:val="32"/>
          <w:highlight w:val="none"/>
          <w:u w:val="none"/>
        </w:rPr>
        <w:t>人</w:t>
      </w:r>
      <w:r>
        <w:rPr>
          <w:rFonts w:hint="default" w:ascii="Times New Roman" w:hAnsi="Times New Roman" w:eastAsia="方正仿宋_GBK" w:cs="Times New Roman"/>
          <w:b w:val="0"/>
          <w:bCs w:val="0"/>
          <w:szCs w:val="32"/>
          <w:highlight w:val="none"/>
          <w:u w:val="none"/>
          <w:lang w:eastAsia="zh-CN"/>
        </w:rPr>
        <w:t>、</w:t>
      </w:r>
      <w:r>
        <w:rPr>
          <w:rFonts w:hint="default" w:ascii="Times New Roman" w:hAnsi="Times New Roman" w:eastAsia="方正仿宋_GBK" w:cs="Times New Roman"/>
          <w:b w:val="0"/>
          <w:bCs w:val="0"/>
          <w:szCs w:val="32"/>
          <w:highlight w:val="none"/>
          <w:u w:val="none"/>
        </w:rPr>
        <w:t>省</w:t>
      </w:r>
      <w:r>
        <w:rPr>
          <w:rFonts w:hint="default" w:ascii="Times New Roman" w:hAnsi="Times New Roman" w:eastAsia="方正仿宋_GBK" w:cs="Times New Roman"/>
          <w:b w:val="0"/>
          <w:bCs w:val="0"/>
          <w:szCs w:val="32"/>
          <w:highlight w:val="none"/>
          <w:u w:val="none"/>
          <w:lang w:eastAsia="zh-CN"/>
        </w:rPr>
        <w:t>级重点人才计划</w:t>
      </w:r>
      <w:r>
        <w:rPr>
          <w:rFonts w:hint="default" w:ascii="Times New Roman" w:hAnsi="Times New Roman" w:eastAsia="方正仿宋_GBK" w:cs="Times New Roman"/>
          <w:b w:val="0"/>
          <w:bCs w:val="0"/>
          <w:szCs w:val="32"/>
          <w:highlight w:val="none"/>
          <w:u w:val="none"/>
          <w:lang w:val="en-US" w:eastAsia="zh-CN"/>
        </w:rPr>
        <w:t>5人</w:t>
      </w:r>
      <w:r>
        <w:rPr>
          <w:rFonts w:hint="default" w:ascii="Times New Roman" w:hAnsi="Times New Roman" w:eastAsia="方正仿宋_GBK" w:cs="Times New Roman"/>
          <w:b w:val="0"/>
          <w:bCs w:val="0"/>
          <w:szCs w:val="32"/>
          <w:highlight w:val="none"/>
          <w:u w:val="none"/>
        </w:rPr>
        <w:t>、</w:t>
      </w:r>
      <w:r>
        <w:rPr>
          <w:rFonts w:hint="default" w:ascii="Times New Roman" w:hAnsi="Times New Roman" w:eastAsia="方正仿宋_GBK" w:cs="Times New Roman"/>
          <w:b w:val="0"/>
          <w:bCs w:val="0"/>
          <w:szCs w:val="32"/>
          <w:highlight w:val="none"/>
          <w:u w:val="none"/>
          <w:lang w:eastAsia="zh-CN"/>
        </w:rPr>
        <w:t>省“</w:t>
      </w:r>
      <w:r>
        <w:rPr>
          <w:rFonts w:hint="default" w:ascii="Times New Roman" w:hAnsi="Times New Roman" w:eastAsia="方正仿宋_GBK" w:cs="Times New Roman"/>
          <w:b w:val="0"/>
          <w:bCs w:val="0"/>
          <w:szCs w:val="32"/>
          <w:highlight w:val="none"/>
          <w:u w:val="none"/>
          <w:lang w:val="en-US" w:eastAsia="zh-CN"/>
        </w:rPr>
        <w:t>333</w:t>
      </w:r>
      <w:r>
        <w:rPr>
          <w:rFonts w:hint="default" w:ascii="Times New Roman" w:hAnsi="Times New Roman" w:eastAsia="方正仿宋_GBK" w:cs="Times New Roman"/>
          <w:b w:val="0"/>
          <w:bCs w:val="0"/>
          <w:szCs w:val="32"/>
          <w:highlight w:val="none"/>
          <w:u w:val="none"/>
          <w:lang w:eastAsia="zh-CN"/>
        </w:rPr>
        <w:t>工程”</w:t>
      </w:r>
      <w:r>
        <w:rPr>
          <w:rFonts w:hint="default" w:ascii="Times New Roman" w:hAnsi="Times New Roman" w:eastAsia="方正仿宋_GBK" w:cs="Times New Roman"/>
          <w:b w:val="0"/>
          <w:bCs w:val="0"/>
          <w:szCs w:val="32"/>
          <w:highlight w:val="none"/>
          <w:u w:val="none"/>
          <w:lang w:val="en-US" w:eastAsia="zh-CN"/>
        </w:rPr>
        <w:t>31人</w:t>
      </w:r>
      <w:r>
        <w:rPr>
          <w:rFonts w:hint="default" w:ascii="Times New Roman" w:hAnsi="Times New Roman" w:eastAsia="方正仿宋_GBK" w:cs="Times New Roman"/>
          <w:b w:val="0"/>
          <w:bCs w:val="0"/>
          <w:szCs w:val="32"/>
          <w:highlight w:val="none"/>
          <w:u w:val="none"/>
          <w:lang w:eastAsia="zh-CN"/>
        </w:rPr>
        <w:t>、</w:t>
      </w:r>
      <w:r>
        <w:rPr>
          <w:rFonts w:hint="default" w:ascii="Times New Roman" w:hAnsi="Times New Roman" w:eastAsia="方正仿宋_GBK" w:cs="Times New Roman"/>
          <w:b w:val="0"/>
          <w:bCs w:val="0"/>
          <w:szCs w:val="32"/>
          <w:highlight w:val="none"/>
          <w:u w:val="none"/>
        </w:rPr>
        <w:t>市</w:t>
      </w:r>
      <w:r>
        <w:rPr>
          <w:rFonts w:hint="default" w:ascii="Times New Roman" w:hAnsi="Times New Roman" w:eastAsia="方正仿宋_GBK" w:cs="Times New Roman"/>
          <w:b w:val="0"/>
          <w:bCs w:val="0"/>
          <w:szCs w:val="32"/>
          <w:highlight w:val="none"/>
          <w:u w:val="none"/>
          <w:lang w:eastAsia="zh-CN"/>
        </w:rPr>
        <w:t>级人才计划</w:t>
      </w:r>
      <w:r>
        <w:rPr>
          <w:rFonts w:hint="default" w:ascii="Times New Roman" w:hAnsi="Times New Roman" w:eastAsia="方正仿宋_GBK" w:cs="Times New Roman"/>
          <w:b w:val="0"/>
          <w:bCs w:val="0"/>
          <w:szCs w:val="32"/>
          <w:highlight w:val="none"/>
          <w:u w:val="none"/>
        </w:rPr>
        <w:t>（团队）</w:t>
      </w:r>
      <w:r>
        <w:rPr>
          <w:rFonts w:hint="default" w:ascii="Times New Roman" w:hAnsi="Times New Roman" w:eastAsia="方正仿宋_GBK" w:cs="Times New Roman"/>
          <w:b w:val="0"/>
          <w:bCs w:val="0"/>
          <w:szCs w:val="32"/>
          <w:highlight w:val="none"/>
          <w:u w:val="none"/>
          <w:lang w:val="en-US" w:eastAsia="zh-CN"/>
        </w:rPr>
        <w:t>47</w:t>
      </w:r>
      <w:r>
        <w:rPr>
          <w:rFonts w:hint="default" w:ascii="Times New Roman" w:hAnsi="Times New Roman" w:eastAsia="方正仿宋_GBK" w:cs="Times New Roman"/>
          <w:b w:val="0"/>
          <w:bCs w:val="0"/>
          <w:szCs w:val="32"/>
          <w:highlight w:val="none"/>
          <w:u w:val="none"/>
        </w:rPr>
        <w:t>人</w:t>
      </w:r>
      <w:r>
        <w:rPr>
          <w:rFonts w:hint="default" w:ascii="Times New Roman" w:hAnsi="Times New Roman" w:eastAsia="方正仿宋_GBK" w:cs="Times New Roman"/>
          <w:b w:val="0"/>
          <w:bCs w:val="0"/>
          <w:szCs w:val="32"/>
          <w:highlight w:val="none"/>
          <w:u w:val="none"/>
          <w:lang w:eastAsia="zh-CN"/>
        </w:rPr>
        <w:t>（个），新增青年人才</w:t>
      </w:r>
      <w:r>
        <w:rPr>
          <w:rFonts w:hint="default" w:ascii="Times New Roman" w:hAnsi="Times New Roman" w:eastAsia="方正仿宋_GBK" w:cs="Times New Roman"/>
          <w:b w:val="0"/>
          <w:bCs w:val="0"/>
          <w:szCs w:val="32"/>
          <w:highlight w:val="none"/>
          <w:u w:val="none"/>
          <w:lang w:val="en-US" w:eastAsia="zh-CN"/>
        </w:rPr>
        <w:t>2.5万</w:t>
      </w:r>
      <w:r>
        <w:rPr>
          <w:rFonts w:hint="default" w:ascii="Times New Roman" w:hAnsi="Times New Roman" w:eastAsia="方正仿宋_GBK" w:cs="Times New Roman"/>
          <w:b w:val="0"/>
          <w:bCs w:val="0"/>
          <w:szCs w:val="32"/>
          <w:highlight w:val="none"/>
          <w:u w:val="none"/>
          <w:lang w:eastAsia="zh-CN"/>
        </w:rPr>
        <w:t>人。</w:t>
      </w:r>
    </w:p>
    <w:p w14:paraId="266164AE">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3.</w:t>
      </w:r>
      <w:r>
        <w:rPr>
          <w:rFonts w:hint="default" w:ascii="Times New Roman" w:hAnsi="Times New Roman" w:eastAsia="方正仿宋_GBK" w:cs="Times New Roman"/>
          <w:b/>
          <w:bCs/>
          <w:szCs w:val="32"/>
          <w:highlight w:val="none"/>
          <w:u w:val="none"/>
          <w:lang w:val="en-US" w:eastAsia="zh-CN"/>
        </w:rPr>
        <w:t>载体能级有力提升</w:t>
      </w:r>
    </w:p>
    <w:p w14:paraId="1698E132">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kern w:val="2"/>
          <w:sz w:val="32"/>
          <w:szCs w:val="32"/>
          <w:highlight w:val="none"/>
          <w:u w:val="none"/>
          <w:lang w:val="en-US" w:eastAsia="zh-CN" w:bidi="ar-SA"/>
        </w:rPr>
      </w:pPr>
      <w:r>
        <w:rPr>
          <w:rFonts w:hint="default" w:ascii="Times New Roman" w:hAnsi="Times New Roman" w:eastAsia="方正仿宋_GBK" w:cs="Times New Roman"/>
          <w:b w:val="0"/>
          <w:bCs w:val="0"/>
          <w:kern w:val="2"/>
          <w:sz w:val="32"/>
          <w:szCs w:val="32"/>
          <w:highlight w:val="none"/>
          <w:u w:val="none"/>
          <w:lang w:val="en-US" w:eastAsia="zh-CN" w:bidi="ar-SA"/>
        </w:rPr>
        <w:t>支持海陵高新区创成省级高新区，区域创新能级迈上新台阶。</w:t>
      </w:r>
      <w:r>
        <w:rPr>
          <w:rFonts w:hint="default" w:ascii="Times New Roman" w:hAnsi="Times New Roman" w:eastAsia="方正仿宋_GBK" w:cs="Times New Roman"/>
          <w:b w:val="0"/>
          <w:bCs w:val="0"/>
          <w:strike w:val="0"/>
          <w:dstrike w:val="0"/>
          <w:kern w:val="2"/>
          <w:sz w:val="32"/>
          <w:szCs w:val="32"/>
          <w:highlight w:val="none"/>
          <w:u w:val="none"/>
          <w:lang w:val="en-US" w:eastAsia="zh-CN" w:bidi="ar-SA"/>
        </w:rPr>
        <w:t>建成市级以上各类研发平台82家，其中国家级1家、省级16家、市级65家。</w:t>
      </w:r>
      <w:r>
        <w:rPr>
          <w:rFonts w:hint="default" w:ascii="Times New Roman" w:hAnsi="Times New Roman" w:eastAsia="方正仿宋_GBK" w:cs="Times New Roman"/>
          <w:sz w:val="32"/>
          <w:szCs w:val="32"/>
          <w:highlight w:val="none"/>
          <w:u w:val="none"/>
          <w:lang w:eastAsia="zh-CN"/>
        </w:rPr>
        <w:t>布局</w:t>
      </w:r>
      <w:r>
        <w:rPr>
          <w:rFonts w:hint="default" w:ascii="Times New Roman" w:hAnsi="Times New Roman" w:eastAsia="方正仿宋_GBK" w:cs="Times New Roman"/>
          <w:b w:val="0"/>
          <w:bCs w:val="0"/>
          <w:strike w:val="0"/>
          <w:dstrike w:val="0"/>
          <w:kern w:val="2"/>
          <w:sz w:val="32"/>
          <w:szCs w:val="32"/>
          <w:highlight w:val="none"/>
          <w:u w:val="none"/>
          <w:lang w:val="en-US" w:eastAsia="zh-CN" w:bidi="ar-SA"/>
        </w:rPr>
        <w:t>4家</w:t>
      </w:r>
      <w:r>
        <w:rPr>
          <w:rFonts w:hint="default" w:ascii="Times New Roman" w:hAnsi="Times New Roman" w:eastAsia="方正仿宋_GBK" w:cs="Times New Roman"/>
          <w:b w:val="0"/>
          <w:bCs w:val="0"/>
          <w:kern w:val="2"/>
          <w:sz w:val="32"/>
          <w:szCs w:val="32"/>
          <w:highlight w:val="none"/>
          <w:u w:val="none"/>
          <w:lang w:val="en-US" w:eastAsia="zh-CN" w:bidi="ar-SA"/>
        </w:rPr>
        <w:t>离岸创新中心，科化、云涌等企业离岸创新中心通过市级认定，福照人间等离岸孵化项目落地海陵转化；本地建成科创中心、科创社区两个“10万</w:t>
      </w:r>
      <w:r>
        <w:rPr>
          <w:rFonts w:hint="eastAsia" w:ascii="Times New Roman" w:hAnsi="Times New Roman" w:eastAsia="方正仿宋_GBK" w:cs="Times New Roman"/>
          <w:b w:val="0"/>
          <w:bCs w:val="0"/>
          <w:kern w:val="2"/>
          <w:sz w:val="32"/>
          <w:szCs w:val="32"/>
          <w:highlight w:val="none"/>
          <w:u w:val="none"/>
          <w:lang w:val="en-US" w:eastAsia="zh-CN" w:bidi="ar-SA"/>
        </w:rPr>
        <w:t>平方</w:t>
      </w:r>
      <w:r>
        <w:rPr>
          <w:rFonts w:hint="default" w:ascii="Times New Roman" w:hAnsi="Times New Roman" w:eastAsia="方正仿宋_GBK" w:cs="Times New Roman"/>
          <w:b w:val="0"/>
          <w:bCs w:val="0"/>
          <w:kern w:val="2"/>
          <w:sz w:val="32"/>
          <w:szCs w:val="32"/>
          <w:highlight w:val="none"/>
          <w:u w:val="none"/>
          <w:lang w:val="en-US" w:eastAsia="zh-CN" w:bidi="ar-SA"/>
        </w:rPr>
        <w:t>米级”载体，吸</w:t>
      </w:r>
      <w:r>
        <w:rPr>
          <w:rFonts w:hint="default" w:ascii="Times New Roman" w:hAnsi="Times New Roman" w:eastAsia="方正仿宋_GBK" w:cs="Times New Roman"/>
          <w:sz w:val="32"/>
          <w:szCs w:val="32"/>
          <w:highlight w:val="none"/>
          <w:u w:val="none"/>
        </w:rPr>
        <w:t>引</w:t>
      </w:r>
      <w:r>
        <w:rPr>
          <w:rFonts w:hint="default" w:ascii="Times New Roman" w:hAnsi="Times New Roman" w:eastAsia="方正仿宋_GBK" w:cs="Times New Roman"/>
          <w:b w:val="0"/>
          <w:bCs w:val="0"/>
          <w:szCs w:val="32"/>
          <w:highlight w:val="none"/>
          <w:u w:val="none"/>
          <w:lang w:val="en-US" w:eastAsia="zh-CN"/>
        </w:rPr>
        <w:t>50余家</w:t>
      </w:r>
      <w:r>
        <w:rPr>
          <w:rFonts w:hint="default" w:ascii="Times New Roman" w:hAnsi="Times New Roman" w:eastAsia="方正仿宋_GBK" w:cs="Times New Roman"/>
          <w:sz w:val="32"/>
          <w:szCs w:val="32"/>
          <w:highlight w:val="none"/>
          <w:u w:val="none"/>
        </w:rPr>
        <w:t>科技型项目</w:t>
      </w:r>
      <w:r>
        <w:rPr>
          <w:rFonts w:hint="default" w:ascii="Times New Roman" w:hAnsi="Times New Roman" w:eastAsia="方正仿宋_GBK" w:cs="Times New Roman"/>
          <w:sz w:val="32"/>
          <w:szCs w:val="32"/>
          <w:highlight w:val="none"/>
          <w:u w:val="none"/>
          <w:lang w:eastAsia="zh-CN"/>
        </w:rPr>
        <w:t>与</w:t>
      </w:r>
      <w:r>
        <w:rPr>
          <w:rFonts w:hint="default" w:ascii="Times New Roman" w:hAnsi="Times New Roman" w:eastAsia="方正仿宋_GBK" w:cs="Times New Roman"/>
          <w:sz w:val="32"/>
          <w:szCs w:val="32"/>
          <w:highlight w:val="none"/>
          <w:u w:val="none"/>
        </w:rPr>
        <w:t>企业入驻</w:t>
      </w:r>
      <w:r>
        <w:rPr>
          <w:rFonts w:hint="default" w:ascii="Times New Roman" w:hAnsi="Times New Roman" w:eastAsia="方正仿宋_GBK" w:cs="Times New Roman"/>
          <w:b w:val="0"/>
          <w:bCs w:val="0"/>
          <w:kern w:val="2"/>
          <w:sz w:val="32"/>
          <w:szCs w:val="32"/>
          <w:highlight w:val="none"/>
          <w:u w:val="none"/>
          <w:lang w:val="en-US" w:eastAsia="zh-CN" w:bidi="ar-SA"/>
        </w:rPr>
        <w:t>。集萃表面工程技术研究所成功落户，有效填补了海陵区新型研发机构空白。</w:t>
      </w:r>
    </w:p>
    <w:p w14:paraId="07B4D9BE">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4.</w:t>
      </w:r>
      <w:r>
        <w:rPr>
          <w:rFonts w:hint="default" w:ascii="Times New Roman" w:hAnsi="Times New Roman" w:eastAsia="方正仿宋_GBK" w:cs="Times New Roman"/>
          <w:b/>
          <w:bCs/>
          <w:szCs w:val="32"/>
          <w:highlight w:val="none"/>
          <w:u w:val="none"/>
          <w:lang w:val="en-US" w:eastAsia="zh-CN"/>
        </w:rPr>
        <w:t>赛事活动亮点纷呈</w:t>
      </w:r>
    </w:p>
    <w:p w14:paraId="1B0A3DBF">
      <w:pPr>
        <w:pStyle w:val="4"/>
        <w:keepNext w:val="0"/>
        <w:keepLines w:val="0"/>
        <w:pageBreakBefore w:val="0"/>
        <w:widowControl w:val="0"/>
        <w:kinsoku/>
        <w:wordWrap/>
        <w:overflowPunct/>
        <w:topLinePunct w:val="0"/>
        <w:bidi w:val="0"/>
        <w:adjustRightInd/>
        <w:snapToGrid/>
        <w:spacing w:line="594" w:lineRule="exact"/>
        <w:ind w:firstLine="640" w:firstLineChars="200"/>
        <w:jc w:val="both"/>
        <w:textAlignment w:val="auto"/>
        <w:rPr>
          <w:rFonts w:hint="default" w:ascii="Times New Roman" w:hAnsi="Times New Roman" w:cs="Times New Roman"/>
          <w:sz w:val="32"/>
          <w:szCs w:val="28"/>
          <w:highlight w:val="none"/>
          <w:lang w:val="en-US" w:eastAsia="zh-CN"/>
        </w:rPr>
      </w:pPr>
      <w:r>
        <w:rPr>
          <w:rFonts w:hint="default" w:ascii="Times New Roman" w:hAnsi="Times New Roman" w:eastAsia="方正仿宋_GBK" w:cs="Times New Roman"/>
          <w:b w:val="0"/>
          <w:bCs w:val="0"/>
          <w:sz w:val="32"/>
          <w:szCs w:val="40"/>
          <w:highlight w:val="none"/>
          <w:u w:val="none"/>
          <w:lang w:val="en-US" w:eastAsia="zh-CN"/>
        </w:rPr>
        <w:t>深化区域协同与人才引育，成功举办泰州—上海创新发展合作会、海陵创新发展大会，承办“泰州日”系列活动，先后走进合肥工业大学、重庆大学、南京航空航天大学、南京工程学院、西安交通大学等高校和隆基绿能西安总部，推动达成一批产学研合作。举办三届“智汇海陵”高层次人才创新创业大赛，承办</w:t>
      </w:r>
      <w:r>
        <w:rPr>
          <w:rFonts w:hint="default" w:ascii="Times New Roman" w:hAnsi="Times New Roman" w:eastAsia="方正仿宋_GBK" w:cs="Times New Roman"/>
          <w:b w:val="0"/>
          <w:bCs w:val="0"/>
          <w:strike w:val="0"/>
          <w:dstrike w:val="0"/>
          <w:kern w:val="2"/>
          <w:sz w:val="32"/>
          <w:szCs w:val="32"/>
          <w:highlight w:val="none"/>
          <w:u w:val="none"/>
          <w:lang w:val="en-US" w:eastAsia="zh-CN" w:bidi="ar-SA"/>
        </w:rPr>
        <w:t>4</w:t>
      </w:r>
      <w:r>
        <w:rPr>
          <w:rFonts w:hint="default" w:ascii="Times New Roman" w:hAnsi="Times New Roman" w:eastAsia="方正仿宋_GBK" w:cs="Times New Roman"/>
          <w:b w:val="0"/>
          <w:bCs w:val="0"/>
          <w:sz w:val="32"/>
          <w:szCs w:val="40"/>
          <w:highlight w:val="none"/>
          <w:u w:val="none"/>
          <w:lang w:val="en-US" w:eastAsia="zh-CN"/>
        </w:rPr>
        <w:t>场“创业江苏”科技创业大赛</w:t>
      </w:r>
      <w:r>
        <w:rPr>
          <w:rFonts w:hint="default" w:ascii="Times New Roman" w:hAnsi="Times New Roman" w:eastAsia="方正仿宋_GBK" w:cs="Times New Roman"/>
          <w:b w:val="0"/>
          <w:bCs w:val="0"/>
          <w:strike w:val="0"/>
          <w:dstrike w:val="0"/>
          <w:kern w:val="2"/>
          <w:sz w:val="32"/>
          <w:szCs w:val="32"/>
          <w:highlight w:val="none"/>
          <w:u w:val="none"/>
          <w:lang w:val="en-US" w:eastAsia="zh-CN" w:bidi="ar-SA"/>
        </w:rPr>
        <w:t>赛事</w:t>
      </w:r>
      <w:r>
        <w:rPr>
          <w:rFonts w:hint="default" w:ascii="Times New Roman" w:hAnsi="Times New Roman" w:eastAsia="方正仿宋_GBK" w:cs="Times New Roman"/>
          <w:b w:val="0"/>
          <w:bCs w:val="0"/>
          <w:sz w:val="32"/>
          <w:szCs w:val="40"/>
          <w:highlight w:val="none"/>
          <w:u w:val="none"/>
          <w:lang w:val="en-US" w:eastAsia="zh-CN"/>
        </w:rPr>
        <w:t>，累计吸引超300名高层次人才参赛，其中博士学历参赛者占比超过60%，区域人才吸引力持续增强。</w:t>
      </w:r>
    </w:p>
    <w:p w14:paraId="28EA1FD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5.</w:t>
      </w:r>
      <w:r>
        <w:rPr>
          <w:rFonts w:hint="default" w:ascii="Times New Roman" w:hAnsi="Times New Roman" w:eastAsia="方正仿宋_GBK" w:cs="Times New Roman"/>
          <w:b/>
          <w:bCs/>
          <w:szCs w:val="32"/>
          <w:highlight w:val="none"/>
          <w:u w:val="none"/>
          <w:lang w:val="en-US" w:eastAsia="zh-CN"/>
        </w:rPr>
        <w:t>人才政策精准发力</w:t>
      </w:r>
    </w:p>
    <w:p w14:paraId="5B5FB57C">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val="0"/>
          <w:bCs w:val="0"/>
          <w:kern w:val="2"/>
          <w:sz w:val="32"/>
          <w:szCs w:val="32"/>
          <w:highlight w:val="none"/>
          <w:u w:val="none"/>
          <w:lang w:val="en-US" w:eastAsia="zh-CN" w:bidi="ar-SA"/>
        </w:rPr>
        <w:t>构建全方位、多层次政策支持体系，先后出台“科创之光”硬核十条、“扬帆海陵”六条、建设青年和人才友好型城市重点举措、“科创十条”、“青年和人才双八条”等政策，全周期助力青年和人才在海陵创新创业。累计兑现科技人才奖补资金4亿余元，全区财政科技经费支出占财政总支出比例超3%，落实科技减税政策为企业节约成本达15亿元。</w:t>
      </w:r>
    </w:p>
    <w:p w14:paraId="73EFAF0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6.</w:t>
      </w:r>
      <w:r>
        <w:rPr>
          <w:rFonts w:hint="default" w:ascii="Times New Roman" w:hAnsi="Times New Roman" w:eastAsia="方正仿宋_GBK" w:cs="Times New Roman"/>
          <w:b/>
          <w:bCs/>
          <w:szCs w:val="32"/>
          <w:highlight w:val="none"/>
          <w:u w:val="none"/>
          <w:lang w:val="en-US" w:eastAsia="zh-CN"/>
        </w:rPr>
        <w:t>服务质效持续优化</w:t>
      </w:r>
    </w:p>
    <w:p w14:paraId="7814E58C">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kern w:val="2"/>
          <w:sz w:val="32"/>
          <w:szCs w:val="32"/>
          <w:highlight w:val="none"/>
          <w:u w:val="none"/>
          <w:lang w:val="en-US" w:eastAsia="zh-CN" w:bidi="ar-SA"/>
        </w:rPr>
      </w:pPr>
      <w:r>
        <w:rPr>
          <w:rFonts w:hint="default" w:ascii="Times New Roman" w:hAnsi="Times New Roman" w:eastAsia="方正仿宋_GBK" w:cs="Times New Roman"/>
          <w:b w:val="0"/>
          <w:bCs w:val="0"/>
          <w:kern w:val="2"/>
          <w:sz w:val="32"/>
          <w:szCs w:val="32"/>
          <w:highlight w:val="none"/>
          <w:u w:val="none"/>
          <w:lang w:val="en-US" w:eastAsia="zh-CN" w:bidi="ar-SA"/>
        </w:rPr>
        <w:t>市区联动打造泰州市青年和人才一站式服务中心，建成全市首家大学生就业人才服务站——“海陵·泰州学院”就业人才服务站，累计服务青年和人才超5万人次。聚焦青年和人才所喜所好、所思所盼，系统布局“15分钟生活服务圈”，打造“南唐里937”、瑞力·泰渡、“青南”活力街等青年和人才友好型街区，举办“陵”距离才企直通车、“小泰阳”人才礼遇发电站、青才午校夜校等特色活动300余场，人才服务温度与效能同步提升。</w:t>
      </w:r>
    </w:p>
    <w:p w14:paraId="54E7E9B2">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楷体_GBK" w:cs="Times New Roman"/>
          <w:kern w:val="2"/>
          <w:sz w:val="32"/>
          <w:szCs w:val="32"/>
          <w:highlight w:val="none"/>
          <w:lang w:val="en-US" w:eastAsia="zh-CN" w:bidi="ar-SA"/>
        </w:rPr>
        <w:t>（二）</w:t>
      </w:r>
      <w:r>
        <w:rPr>
          <w:rFonts w:hint="default" w:ascii="Times New Roman" w:hAnsi="Times New Roman" w:eastAsia="方正楷体_GBK" w:cs="Times New Roman"/>
          <w:szCs w:val="32"/>
          <w:highlight w:val="none"/>
          <w:u w:val="none"/>
          <w:lang w:val="en-US" w:eastAsia="zh-CN"/>
        </w:rPr>
        <w:t>问题总结</w:t>
      </w:r>
    </w:p>
    <w:p w14:paraId="6D3C01B6">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在全面总结成绩的同时，也要清醒认识到，我区当前的人才工作还存在一些突出问题：</w:t>
      </w:r>
    </w:p>
    <w:p w14:paraId="5F2A5D74">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1.人才引力不够强劲</w:t>
      </w:r>
    </w:p>
    <w:p w14:paraId="2185B723">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受产业能级、薪酬水平及高校资源等要素限制，我区</w:t>
      </w:r>
      <w:r>
        <w:rPr>
          <w:rFonts w:hint="default" w:ascii="Times New Roman" w:hAnsi="Times New Roman" w:eastAsia="方正仿宋_GBK" w:cs="Times New Roman"/>
          <w:b w:val="0"/>
          <w:bCs w:val="0"/>
          <w:szCs w:val="32"/>
          <w:highlight w:val="none"/>
          <w:u w:val="none"/>
          <w:lang w:val="en-US" w:eastAsia="zh-CN"/>
        </w:rPr>
        <w:t>高端人才承载力还偏弱，加之有苏南、上海、浙江等地的“虹吸效应”影响，对高层次人才的吸引力处于劣势地位，高技能人才引进仍面临供需挑战。</w:t>
      </w:r>
    </w:p>
    <w:p w14:paraId="0F78693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94" w:lineRule="exact"/>
        <w:ind w:left="0" w:leftChars="0"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2.载体功能尚待健全</w:t>
      </w:r>
    </w:p>
    <w:p w14:paraId="3E7F0B4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94"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全区现有科创载体仍处于初级阶段，在专业化运营上存在不足，创新成果孵化转化和企业成长加速的预期成效不明显，“创业苗圃—孵化器—加速器—产业园”的梯次孵化体系还未完全形成。</w:t>
      </w:r>
    </w:p>
    <w:p w14:paraId="4454A4E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3.服务质态仍需提高</w:t>
      </w:r>
    </w:p>
    <w:p w14:paraId="4F13CCFD">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人才公寓总量偏少、</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分布不均</w:t>
      </w:r>
      <w:r>
        <w:rPr>
          <w:rFonts w:hint="default" w:ascii="Times New Roman" w:hAnsi="Times New Roman" w:eastAsia="方正仿宋_GBK" w:cs="Times New Roman"/>
          <w:b w:val="0"/>
          <w:bCs w:val="0"/>
          <w:szCs w:val="32"/>
          <w:highlight w:val="none"/>
          <w:u w:val="none"/>
          <w:lang w:val="en-US" w:eastAsia="zh-CN"/>
        </w:rPr>
        <w:t>且家政、养老托育等增值服务配备不全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，新业态商贸、高端医疗和教育资源相较先进地区仍有差距，难以满足人才对高品质生活的需求。</w:t>
      </w:r>
    </w:p>
    <w:p w14:paraId="3BF2B21E">
      <w:pPr>
        <w:keepNext w:val="0"/>
        <w:keepLines w:val="0"/>
        <w:pageBreakBefore w:val="0"/>
        <w:widowControl w:val="0"/>
        <w:kinsoku/>
        <w:wordWrap/>
        <w:overflowPunct/>
        <w:topLinePunct w:val="0"/>
        <w:autoSpaceDE/>
        <w:autoSpaceDN/>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4.企业主体意识不强</w:t>
      </w:r>
    </w:p>
    <w:p w14:paraId="3E77FA6F">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用人主体主导作用发挥不够充分，部分企业特别</w:t>
      </w:r>
      <w:r>
        <w:rPr>
          <w:rFonts w:hint="default" w:ascii="Times New Roman" w:hAnsi="Times New Roman" w:eastAsia="方正仿宋_GBK" w:cs="Times New Roman"/>
          <w:b w:val="0"/>
          <w:bCs w:val="0"/>
          <w:strike w:val="0"/>
          <w:dstrike w:val="0"/>
          <w:szCs w:val="32"/>
          <w:highlight w:val="none"/>
          <w:u w:val="none"/>
          <w:lang w:val="en-US" w:eastAsia="zh-CN"/>
        </w:rPr>
        <w:t>是</w:t>
      </w:r>
      <w:r>
        <w:rPr>
          <w:rFonts w:hint="default" w:ascii="Times New Roman" w:hAnsi="Times New Roman" w:eastAsia="方正仿宋_GBK" w:cs="Times New Roman"/>
          <w:b w:val="0"/>
          <w:bCs w:val="0"/>
          <w:szCs w:val="32"/>
          <w:highlight w:val="none"/>
          <w:u w:val="none"/>
          <w:lang w:val="en-US" w:eastAsia="zh-CN"/>
        </w:rPr>
        <w:t>制造型企业对高层次人才的需求量不大、吸附力不强，其主动引才、积极育才的内生动力不足，人才强企意识有待提高。</w:t>
      </w:r>
    </w:p>
    <w:p w14:paraId="291C5EC3">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小标宋_GBK" w:cs="Times New Roman"/>
          <w:b/>
          <w:bCs/>
          <w:szCs w:val="32"/>
          <w:highlight w:val="none"/>
          <w:u w:val="none"/>
          <w:lang w:val="en-US" w:eastAsia="zh-CN"/>
        </w:rPr>
      </w:pPr>
      <w:r>
        <w:rPr>
          <w:rFonts w:hint="default" w:ascii="Times New Roman" w:hAnsi="Times New Roman" w:eastAsia="方正楷体_GBK" w:cs="Times New Roman"/>
          <w:b w:val="0"/>
          <w:bCs w:val="0"/>
          <w:szCs w:val="32"/>
          <w:highlight w:val="none"/>
          <w:u w:val="none"/>
          <w:lang w:val="en-US" w:eastAsia="zh-CN"/>
        </w:rPr>
        <w:t>（三）发展形势</w:t>
      </w:r>
    </w:p>
    <w:p w14:paraId="23D864C5">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十五五”时期是我国现代化进程中至关重要的阶段。放眼宏观形势，百年未有之大变局加速演进，人才工作正面临新一轮科技革命、产业变革与国际竞争态势的深度交织，呈现出战略机遇与风险挑战相互交织的复杂态势。对海陵而言，当前仍面临内部、外部诸多现实挑战，但从发展全局和长远趋势来看，海陵人才工作仍处于可以大有作为的战略机遇期，机遇远大于挑战。</w:t>
      </w:r>
    </w:p>
    <w:p w14:paraId="2F690B4D">
      <w:pPr>
        <w:keepNext w:val="0"/>
        <w:keepLines w:val="0"/>
        <w:pageBreakBefore w:val="0"/>
        <w:widowControl w:val="0"/>
        <w:kinsoku/>
        <w:wordWrap/>
        <w:overflowPunct/>
        <w:topLinePunct w:val="0"/>
        <w:autoSpaceDE/>
        <w:autoSpaceDN/>
        <w:bidi w:val="0"/>
        <w:adjustRightInd/>
        <w:snapToGrid/>
        <w:spacing w:line="594" w:lineRule="exact"/>
        <w:ind w:firstLine="643"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——从时间维度上看，</w:t>
      </w:r>
      <w:r>
        <w:rPr>
          <w:rFonts w:hint="default" w:ascii="Times New Roman" w:hAnsi="Times New Roman" w:eastAsia="方正仿宋_GBK" w:cs="Times New Roman"/>
          <w:b w:val="0"/>
          <w:bCs w:val="0"/>
          <w:szCs w:val="32"/>
          <w:highlight w:val="none"/>
          <w:u w:val="none"/>
          <w:lang w:val="en-US" w:eastAsia="zh-CN"/>
        </w:rPr>
        <w:t>“十五五”期间将迎来建党105周年、改革开放50周年、新中国成立80周年等重要节点，是我国全面建设社会主义现代化国家、向第二个百年奋斗目标进军的重要阶段，具有承前启后、承上启下的关键地位。同时，海陵也将迈过“而立之年”，进入崭新的发展阶段。立足建区30周年</w:t>
      </w:r>
      <w:r>
        <w:rPr>
          <w:rFonts w:hint="eastAsia" w:ascii="Times New Roman" w:hAnsi="Times New Roman" w:eastAsia="方正仿宋_GBK" w:cs="Times New Roman"/>
          <w:b w:val="0"/>
          <w:bCs w:val="0"/>
          <w:szCs w:val="32"/>
          <w:highlight w:val="none"/>
          <w:u w:val="none"/>
          <w:lang w:val="en-US" w:eastAsia="zh-CN"/>
        </w:rPr>
        <w:t>新起点</w:t>
      </w:r>
      <w:r>
        <w:rPr>
          <w:rFonts w:hint="default" w:ascii="Times New Roman" w:hAnsi="Times New Roman" w:eastAsia="方正仿宋_GBK" w:cs="Times New Roman"/>
          <w:b w:val="0"/>
          <w:bCs w:val="0"/>
          <w:szCs w:val="32"/>
          <w:highlight w:val="none"/>
          <w:u w:val="none"/>
          <w:lang w:val="en-US" w:eastAsia="zh-CN"/>
        </w:rPr>
        <w:t>，海陵正处于首位优势大提升、主城能级大突破的关键时期，比以往任何时期都要更加渴求人才。“十五五”期间，海陵要围绕打响“到海陵、肯定行、一定赢”营商环境品牌，系统实施人才强区战略，推动体制机制改革，构建面向现代化建设的人才发展体系，为全区实现</w:t>
      </w:r>
      <w:r>
        <w:rPr>
          <w:rFonts w:hint="eastAsia" w:ascii="Times New Roman" w:hAnsi="Times New Roman" w:eastAsia="方正仿宋_GBK" w:cs="Times New Roman"/>
          <w:b w:val="0"/>
          <w:bCs w:val="0"/>
          <w:szCs w:val="32"/>
          <w:highlight w:val="none"/>
          <w:u w:val="none"/>
          <w:lang w:val="en-US" w:eastAsia="zh-CN"/>
        </w:rPr>
        <w:t>2035年远景目标</w:t>
      </w:r>
      <w:r>
        <w:rPr>
          <w:rFonts w:hint="default" w:ascii="Times New Roman" w:hAnsi="Times New Roman" w:eastAsia="方正仿宋_GBK" w:cs="Times New Roman"/>
          <w:b w:val="0"/>
          <w:bCs w:val="0"/>
          <w:szCs w:val="32"/>
          <w:highlight w:val="none"/>
          <w:u w:val="none"/>
          <w:lang w:val="en-US" w:eastAsia="zh-CN"/>
        </w:rPr>
        <w:t>提供持久强劲的人才动能和智力支撑。</w:t>
      </w:r>
    </w:p>
    <w:p w14:paraId="48A6428C">
      <w:pPr>
        <w:keepNext w:val="0"/>
        <w:keepLines w:val="0"/>
        <w:pageBreakBefore w:val="0"/>
        <w:widowControl w:val="0"/>
        <w:kinsoku/>
        <w:wordWrap/>
        <w:overflowPunct/>
        <w:topLinePunct w:val="0"/>
        <w:autoSpaceDE/>
        <w:autoSpaceDN/>
        <w:bidi w:val="0"/>
        <w:adjustRightInd/>
        <w:snapToGrid/>
        <w:spacing w:line="594" w:lineRule="exact"/>
        <w:ind w:firstLine="643"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——从人员维度上看，</w:t>
      </w:r>
      <w:r>
        <w:rPr>
          <w:rFonts w:hint="default" w:ascii="Times New Roman" w:hAnsi="Times New Roman" w:eastAsia="方正仿宋_GBK" w:cs="Times New Roman"/>
          <w:b w:val="0"/>
          <w:bCs w:val="0"/>
          <w:szCs w:val="32"/>
          <w:highlight w:val="none"/>
          <w:u w:val="none"/>
          <w:lang w:val="en-US" w:eastAsia="zh-CN"/>
        </w:rPr>
        <w:t>60后群体进入退休高峰期的同时，大批00后、05后将进入劳动力市场，老龄化、少子化、劳动力结构变化等人口因素带来的影响，正重塑着人才发展的格局。“十五五”期间，海陵要持续深化青年和人才友好型城市建设，将年轻人作为激发城市活力、带动城市创新的重要力量，完善一批服务保障政策，布局一批新兴消费场景，搭建一批创新创业舞台，在就业落户、购房安居、结婚生育等方面加大支持力度，帮助青年人才拓宽朋友圈、融入新生活。同时，要将“全龄友好”与“青年和人才友好”深度融合，以系统性思维构建“全要素协同、全链条贯通、全周期覆盖、全年龄友好”的人才发展体系，让各类、各年龄段人才创业有机遇、发展有平台、事业有成就、生活有滋味。</w:t>
      </w:r>
    </w:p>
    <w:p w14:paraId="076779F0">
      <w:pPr>
        <w:keepNext w:val="0"/>
        <w:keepLines w:val="0"/>
        <w:pageBreakBefore w:val="0"/>
        <w:widowControl/>
        <w:suppressLineNumbers w:val="0"/>
        <w:kinsoku/>
        <w:wordWrap/>
        <w:overflowPunct/>
        <w:topLinePunct w:val="0"/>
        <w:bidi w:val="0"/>
        <w:adjustRightInd/>
        <w:snapToGrid/>
        <w:spacing w:line="594" w:lineRule="exact"/>
        <w:ind w:firstLine="643" w:firstLineChars="200"/>
        <w:jc w:val="left"/>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——从区域维度上看，</w:t>
      </w:r>
      <w:r>
        <w:rPr>
          <w:rFonts w:hint="default" w:ascii="Times New Roman" w:hAnsi="Times New Roman" w:eastAsia="方正仿宋_GBK" w:cs="Times New Roman"/>
          <w:b w:val="0"/>
          <w:bCs w:val="0"/>
          <w:szCs w:val="32"/>
          <w:highlight w:val="none"/>
          <w:u w:val="none"/>
          <w:lang w:val="en-US" w:eastAsia="zh-CN"/>
        </w:rPr>
        <w:t>习近平总书记赋予江苏扛起“经济大省挑大梁”责任担当的光荣使命，全省上下都在奋力“打头阵、勇争先、走在前、作示范”。与此同时，长三角一体化发展取得显著成效，区域创新能力和辐射带动作用不断提升。“十五五”期间，海陵要深度融入沿沪宁产业创新带建设进程，促进人才、技术、资本等创新要素加快集聚。要更加深刻领会市委赋予海陵“地位特殊、作用特殊，是中心城市的核心组成部分”的特殊使命，积极策应“枢纽泰州”建设，坚持加大开放对外引才力度和走好人才自主培养之路双向发力，以更加积极开放的姿态参与区域人才竞合。要立足“建成长三角地区具有区域影响力的先进制造业基地”目标，积极承接上海、南京、苏州等地区的人才资源溢出，加快打造区域人才发展强节点，在服务全省、全市发展大局中提供人才支撑、贡献海陵力量。</w:t>
      </w:r>
    </w:p>
    <w:p w14:paraId="5C571B93">
      <w:pPr>
        <w:keepNext w:val="0"/>
        <w:keepLines w:val="0"/>
        <w:pageBreakBefore w:val="0"/>
        <w:widowControl w:val="0"/>
        <w:kinsoku/>
        <w:wordWrap/>
        <w:overflowPunct/>
        <w:topLinePunct w:val="0"/>
        <w:autoSpaceDE/>
        <w:autoSpaceDN/>
        <w:bidi w:val="0"/>
        <w:adjustRightInd/>
        <w:snapToGrid/>
        <w:spacing w:line="594" w:lineRule="exact"/>
        <w:ind w:firstLine="643"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——从产业维度上看，</w:t>
      </w:r>
      <w:r>
        <w:rPr>
          <w:rFonts w:hint="default" w:ascii="Times New Roman" w:hAnsi="Times New Roman" w:eastAsia="方正仿宋_GBK" w:cs="Times New Roman"/>
          <w:szCs w:val="32"/>
          <w:highlight w:val="none"/>
          <w:u w:val="none"/>
          <w:lang w:val="en-US" w:eastAsia="zh-CN"/>
        </w:rPr>
        <w:t>全国现代化产业体系建设步伐加快、江苏“1650”产业体系战略布局已然形成、泰州“大海新晨”产业战略地位持续彰显，都为海陵进一步建强现代产业体系、激发产才融合动能提供了有利条件。“十五五”期间，海陵要紧扣产业生命线，以人才第一资源引领“新车智数”现代化产业体系建设，推动数字经济、实体经济“数实融合”，先进制造业、现代服务业“双轮驱动”，产业链、创新链、资金链、人才链、教育链“五链融合”。要立足都市城郊型农业，依托国家现代农业产业园，放大“三水一花”特色种业优势，推动“农文旅商”融合发展。要依托开发园区能级跃升契机，着眼产业提质焕新和前瞻布局，一体推进人才项目招引、载体建设、生态优化，全方位培养引进、留住用好人才，持续提升“以产聚才、以才兴产”水平，创成更富有竞争优势的特色产业集群和人才发展高地。</w:t>
      </w:r>
    </w:p>
    <w:p w14:paraId="18CFBF1A">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黑体_GBK" w:cs="Times New Roman"/>
          <w:szCs w:val="32"/>
          <w:highlight w:val="none"/>
          <w:u w:val="none"/>
          <w:lang w:val="en-US" w:eastAsia="zh-CN"/>
        </w:rPr>
      </w:pPr>
      <w:r>
        <w:rPr>
          <w:rFonts w:hint="default" w:ascii="Times New Roman" w:hAnsi="Times New Roman" w:eastAsia="方正黑体_GBK" w:cs="Times New Roman"/>
          <w:szCs w:val="32"/>
          <w:highlight w:val="none"/>
          <w:u w:val="none"/>
        </w:rPr>
        <w:t>二、</w:t>
      </w:r>
      <w:r>
        <w:rPr>
          <w:rFonts w:hint="default" w:ascii="Times New Roman" w:hAnsi="Times New Roman" w:eastAsia="方正黑体_GBK" w:cs="Times New Roman"/>
          <w:szCs w:val="32"/>
          <w:highlight w:val="none"/>
          <w:u w:val="none"/>
          <w:lang w:val="en-US" w:eastAsia="zh-CN"/>
        </w:rPr>
        <w:t>指导思想与主要目标</w:t>
      </w:r>
    </w:p>
    <w:p w14:paraId="0BA06E50">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rPr>
      </w:pPr>
      <w:r>
        <w:rPr>
          <w:rFonts w:hint="default" w:ascii="Times New Roman" w:hAnsi="Times New Roman" w:eastAsia="方正楷体_GBK" w:cs="Times New Roman"/>
          <w:szCs w:val="32"/>
          <w:highlight w:val="none"/>
          <w:u w:val="none"/>
        </w:rPr>
        <w:t>（一）指导思想</w:t>
      </w:r>
    </w:p>
    <w:p w14:paraId="32F87E5D">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以习近平新时代中国特色社会主义思想为根本遵循，全面贯彻</w:t>
      </w:r>
      <w:r>
        <w:rPr>
          <w:rFonts w:hint="eastAsia" w:ascii="Times New Roman" w:hAnsi="Times New Roman" w:eastAsia="方正仿宋_GBK" w:cs="Times New Roman"/>
          <w:szCs w:val="32"/>
          <w:highlight w:val="none"/>
          <w:u w:val="none"/>
          <w:lang w:val="en-US" w:eastAsia="zh-CN"/>
        </w:rPr>
        <w:t>党的二十大和二十届历次全会精神</w:t>
      </w:r>
      <w:r>
        <w:rPr>
          <w:rFonts w:hint="default" w:ascii="Times New Roman" w:hAnsi="Times New Roman" w:eastAsia="方正仿宋_GBK" w:cs="Times New Roman"/>
          <w:szCs w:val="32"/>
          <w:highlight w:val="none"/>
          <w:u w:val="none"/>
          <w:lang w:val="en-US" w:eastAsia="zh-CN"/>
        </w:rPr>
        <w:t>，牢牢把握党管人才核心原则，严格落实市、区两级关于人才工作的决策部署。坚持投资于物和投资于人紧密结合，始终锚定人才高质量发展主题主线，以青年和人才友好型城市建设为重要抓手，持续深化人才发展体制机制改革创新，着力破除人才引进、培养、使用、评价、激励等全链条堵点难点，不断完善更具吸引力、竞争力的人才政策体系，持续擦亮人才服务金字招牌、优化人才发展生态环境，广泛汇聚海内外各类优秀人才，为我区坚决扛起“扛牢主城担当、建强中心城区”使命担当，全力实现“冲击千亿主城、打造幸福标杆”奋斗目标，持续擦亮“繁荣主城、文化名城、首善之城”三张名片提供坚实可靠的人才支撑和智力保障。</w:t>
      </w:r>
    </w:p>
    <w:p w14:paraId="49896487">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楷体_GBK" w:cs="Times New Roman"/>
          <w:szCs w:val="32"/>
          <w:highlight w:val="none"/>
          <w:u w:val="none"/>
          <w:lang w:val="en-US" w:eastAsia="zh-CN"/>
        </w:rPr>
        <w:t>（二）基本原则</w:t>
      </w:r>
    </w:p>
    <w:p w14:paraId="5E193F5D">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1.坚持党管人才</w:t>
      </w:r>
    </w:p>
    <w:p w14:paraId="2DB621D3">
      <w:pPr>
        <w:pStyle w:val="4"/>
        <w:keepNext w:val="0"/>
        <w:keepLines w:val="0"/>
        <w:pageBreakBefore w:val="0"/>
        <w:widowControl w:val="0"/>
        <w:kinsoku/>
        <w:wordWrap/>
        <w:overflowPunct/>
        <w:topLinePunct w:val="0"/>
        <w:bidi w:val="0"/>
        <w:adjustRightInd/>
        <w:snapToGrid/>
        <w:spacing w:line="594" w:lineRule="exact"/>
        <w:ind w:firstLine="640" w:firstLineChars="200"/>
        <w:textAlignment w:val="auto"/>
        <w:rPr>
          <w:rFonts w:hint="default" w:ascii="Times New Roman" w:hAnsi="Times New Roman" w:eastAsia="方正仿宋_GBK" w:cs="Times New Roman"/>
          <w:kern w:val="2"/>
          <w:sz w:val="32"/>
          <w:szCs w:val="32"/>
          <w:highlight w:val="none"/>
          <w:u w:val="none"/>
          <w:lang w:val="en-US" w:eastAsia="zh-CN" w:bidi="ar-SA"/>
        </w:rPr>
      </w:pPr>
      <w:r>
        <w:rPr>
          <w:rFonts w:hint="default" w:ascii="Times New Roman" w:hAnsi="Times New Roman" w:eastAsia="方正仿宋_GBK" w:cs="Times New Roman"/>
          <w:kern w:val="2"/>
          <w:sz w:val="32"/>
          <w:szCs w:val="32"/>
          <w:highlight w:val="none"/>
          <w:u w:val="none"/>
          <w:lang w:val="en-US" w:eastAsia="zh-CN" w:bidi="ar-SA"/>
        </w:rPr>
        <w:t>牢牢把握党管人才根本原则，将党的集中统一领导贯穿人才工作全过程、各方面。聚焦人才工作要点难点，持续深化人才发展体制机制改革，让人才创新活力充分涌流。坚持“增人数”与“得人心”相统一，引导广大人才自觉拥护党的领导、投身党的事业，把各领域优秀人才紧密团结凝聚在党组织周围。</w:t>
      </w:r>
    </w:p>
    <w:p w14:paraId="13291CBA">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2.坚持产才协同</w:t>
      </w:r>
    </w:p>
    <w:p w14:paraId="22EE876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紧扣“新车智数”现代产业体系建设需求，充分发挥市场在人才资源配置中的决定性作用，持续推动“五链融合”。以产业发展集聚优质人才，以人才赋能驱动产业升级，构建产才互促共进、双向奔赴的良性循环，加速将人才创新优势转化为产业发展胜势，为产业高质量发展注入强劲动能。</w:t>
      </w:r>
    </w:p>
    <w:p w14:paraId="00762986">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3.坚持统筹推进</w:t>
      </w:r>
    </w:p>
    <w:p w14:paraId="6407512D">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注重人才队伍建设的系统性、整体性、协同性，统筹推动教育、科技、人才一体化发展。立足不同领域、不同层次人才的差异化需求，实行精准施策、分类指导、靶向培育</w:t>
      </w:r>
      <w:r>
        <w:rPr>
          <w:rFonts w:hint="eastAsia" w:ascii="Times New Roman" w:hAnsi="Times New Roman" w:eastAsia="方正仿宋_GBK" w:cs="Times New Roman"/>
          <w:szCs w:val="32"/>
          <w:highlight w:val="none"/>
          <w:u w:val="none"/>
          <w:lang w:val="en-US" w:eastAsia="zh-CN"/>
        </w:rPr>
        <w:t>的策略，</w:t>
      </w:r>
      <w:r>
        <w:rPr>
          <w:rFonts w:hint="default" w:ascii="Times New Roman" w:hAnsi="Times New Roman" w:eastAsia="方正仿宋_GBK" w:cs="Times New Roman"/>
          <w:szCs w:val="32"/>
          <w:highlight w:val="none"/>
          <w:u w:val="none"/>
          <w:lang w:val="en-US" w:eastAsia="zh-CN"/>
        </w:rPr>
        <w:t>促进各支人才队伍动态平衡、良性互动，着力构建梯次合理、结构优化、协同发展的人才“雁阵格局”。</w:t>
      </w:r>
    </w:p>
    <w:p w14:paraId="5AF3A346">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4.坚持优化环境</w:t>
      </w:r>
    </w:p>
    <w:p w14:paraId="08BA60F8">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牢固树立“以人为本”的服务理念，坚持以“到海陵、肯定行、一定赢”为行动宗旨，持续优化尊才爱才的社会环境、开放高效的发展环境、集成便捷的服务环境，用心用情解决人才</w:t>
      </w:r>
      <w:r>
        <w:rPr>
          <w:rFonts w:hint="eastAsia" w:ascii="Times New Roman" w:hAnsi="Times New Roman" w:eastAsia="方正仿宋_GBK" w:cs="Times New Roman"/>
          <w:szCs w:val="32"/>
          <w:highlight w:val="none"/>
          <w:u w:val="none"/>
          <w:lang w:val="en-US" w:eastAsia="zh-CN"/>
        </w:rPr>
        <w:t>急难愁盼问题</w:t>
      </w:r>
      <w:r>
        <w:rPr>
          <w:rFonts w:hint="default" w:ascii="Times New Roman" w:hAnsi="Times New Roman" w:eastAsia="方正仿宋_GBK" w:cs="Times New Roman"/>
          <w:szCs w:val="32"/>
          <w:highlight w:val="none"/>
          <w:u w:val="none"/>
          <w:lang w:val="en-US" w:eastAsia="zh-CN"/>
        </w:rPr>
        <w:t>，不断提升人才获得感、幸福感、归属感，全力打造“近者悦、远者来”的人才集聚高地。</w:t>
      </w:r>
    </w:p>
    <w:p w14:paraId="2D6076FA">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楷体_GBK" w:cs="Times New Roman"/>
          <w:szCs w:val="32"/>
          <w:highlight w:val="none"/>
          <w:u w:val="none"/>
          <w:lang w:eastAsia="zh-CN"/>
        </w:rPr>
        <w:t>（</w:t>
      </w:r>
      <w:r>
        <w:rPr>
          <w:rFonts w:hint="default" w:ascii="Times New Roman" w:hAnsi="Times New Roman" w:eastAsia="方正楷体_GBK" w:cs="Times New Roman"/>
          <w:szCs w:val="32"/>
          <w:highlight w:val="none"/>
          <w:u w:val="none"/>
          <w:lang w:val="en-US" w:eastAsia="zh-CN"/>
        </w:rPr>
        <w:t>三</w:t>
      </w:r>
      <w:r>
        <w:rPr>
          <w:rFonts w:hint="default" w:ascii="Times New Roman" w:hAnsi="Times New Roman" w:eastAsia="方正楷体_GBK" w:cs="Times New Roman"/>
          <w:szCs w:val="32"/>
          <w:highlight w:val="none"/>
          <w:u w:val="none"/>
          <w:lang w:eastAsia="zh-CN"/>
        </w:rPr>
        <w:t>）</w:t>
      </w:r>
      <w:r>
        <w:rPr>
          <w:rFonts w:hint="default" w:ascii="Times New Roman" w:hAnsi="Times New Roman" w:eastAsia="方正楷体_GBK" w:cs="Times New Roman"/>
          <w:szCs w:val="32"/>
          <w:highlight w:val="none"/>
          <w:u w:val="none"/>
          <w:lang w:val="en-US" w:eastAsia="zh-CN"/>
        </w:rPr>
        <w:t>发展目标</w:t>
      </w:r>
    </w:p>
    <w:p w14:paraId="3FFDD1CA">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1.人才规模持续增长</w:t>
      </w:r>
    </w:p>
    <w:p w14:paraId="406E1D43">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全区新引进高层次人才2000人以上</w:t>
      </w:r>
      <w:r>
        <w:rPr>
          <w:rFonts w:hint="default" w:ascii="Times New Roman" w:hAnsi="Times New Roman" w:eastAsia="方正仿宋_GBK" w:cs="Times New Roman"/>
          <w:sz w:val="32"/>
          <w:szCs w:val="32"/>
          <w:highlight w:val="none"/>
          <w:lang w:eastAsia="zh-CN"/>
        </w:rPr>
        <w:t>，集聚</w:t>
      </w:r>
      <w:r>
        <w:rPr>
          <w:rFonts w:hint="default" w:ascii="Times New Roman" w:hAnsi="Times New Roman" w:eastAsia="方正仿宋_GBK" w:cs="Times New Roman"/>
          <w:szCs w:val="32"/>
          <w:highlight w:val="none"/>
          <w:u w:val="none"/>
          <w:lang w:val="en-US" w:eastAsia="zh-CN"/>
        </w:rPr>
        <w:t>青年人才2.6万人，</w:t>
      </w:r>
      <w:r>
        <w:rPr>
          <w:rFonts w:hint="default" w:ascii="Times New Roman" w:hAnsi="Times New Roman" w:eastAsia="方正仿宋_GBK" w:cs="Times New Roman"/>
          <w:sz w:val="32"/>
          <w:szCs w:val="32"/>
          <w:highlight w:val="none"/>
          <w:lang w:eastAsia="zh-CN"/>
        </w:rPr>
        <w:t>国家级、省级、市级各类人才计划工程入选数稳步增长</w:t>
      </w:r>
      <w:r>
        <w:rPr>
          <w:rFonts w:hint="default" w:ascii="Times New Roman" w:hAnsi="Times New Roman" w:eastAsia="方正仿宋_GBK" w:cs="Times New Roman"/>
          <w:sz w:val="32"/>
          <w:szCs w:val="32"/>
          <w:highlight w:val="none"/>
        </w:rPr>
        <w:t>。</w:t>
      </w:r>
    </w:p>
    <w:p w14:paraId="19A85917">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2.人才结构不断优化</w:t>
      </w:r>
    </w:p>
    <w:p w14:paraId="4050B64F">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鼓励青年人才申报各类人才计划，持续优化人才队伍年龄结构。引导规上企业加大研发人才储备，研发人员占从业人员比重提升至5.5%以上。健全技能人才培养体系，</w:t>
      </w:r>
      <w:r>
        <w:rPr>
          <w:rFonts w:hint="default" w:ascii="Times New Roman" w:hAnsi="Times New Roman" w:eastAsia="方正仿宋_GBK" w:cs="Times New Roman"/>
          <w:sz w:val="32"/>
          <w:szCs w:val="32"/>
          <w:highlight w:val="none"/>
          <w:lang w:val="en-US" w:eastAsia="zh-CN"/>
        </w:rPr>
        <w:t>新增高技能人才3000人以上</w:t>
      </w:r>
      <w:r>
        <w:rPr>
          <w:rFonts w:hint="default" w:ascii="Times New Roman" w:hAnsi="Times New Roman" w:eastAsia="方正仿宋_GBK" w:cs="Times New Roman"/>
          <w:szCs w:val="32"/>
          <w:highlight w:val="none"/>
          <w:u w:val="none"/>
          <w:lang w:val="en-US" w:eastAsia="zh-CN"/>
        </w:rPr>
        <w:t>。</w:t>
      </w:r>
    </w:p>
    <w:p w14:paraId="46914892">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3.人才创新积极有效</w:t>
      </w:r>
    </w:p>
    <w:p w14:paraId="4CD49C48">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rPr>
        <w:t>全社会研发投入规模和强度进一步提升，研发经费支出年均增长率</w:t>
      </w:r>
      <w:r>
        <w:rPr>
          <w:rFonts w:hint="default" w:ascii="Times New Roman" w:hAnsi="Times New Roman" w:eastAsia="方正仿宋_GBK" w:cs="Times New Roman"/>
          <w:szCs w:val="32"/>
          <w:highlight w:val="none"/>
          <w:u w:val="none"/>
          <w:lang w:eastAsia="zh-CN"/>
        </w:rPr>
        <w:t>达</w:t>
      </w:r>
      <w:r>
        <w:rPr>
          <w:rFonts w:hint="default" w:ascii="Times New Roman" w:hAnsi="Times New Roman" w:eastAsia="方正仿宋_GBK" w:cs="Times New Roman"/>
          <w:szCs w:val="32"/>
          <w:highlight w:val="none"/>
          <w:u w:val="none"/>
          <w:lang w:val="en-US" w:eastAsia="zh-CN"/>
        </w:rPr>
        <w:t>5%</w:t>
      </w:r>
      <w:r>
        <w:rPr>
          <w:rFonts w:hint="default" w:ascii="Times New Roman" w:hAnsi="Times New Roman" w:eastAsia="方正仿宋_GBK" w:cs="Times New Roman"/>
          <w:szCs w:val="32"/>
          <w:highlight w:val="none"/>
          <w:u w:val="none"/>
          <w:lang w:eastAsia="zh-CN"/>
        </w:rPr>
        <w:t>，</w:t>
      </w:r>
      <w:r>
        <w:rPr>
          <w:rFonts w:hint="default" w:ascii="Times New Roman" w:hAnsi="Times New Roman" w:eastAsia="方正仿宋_GBK" w:cs="Times New Roman"/>
          <w:sz w:val="32"/>
          <w:szCs w:val="32"/>
          <w:highlight w:val="none"/>
          <w:u w:val="none"/>
        </w:rPr>
        <w:t>高新技术企业</w:t>
      </w:r>
      <w:r>
        <w:rPr>
          <w:rFonts w:hint="default" w:ascii="Times New Roman" w:hAnsi="Times New Roman" w:eastAsia="方正仿宋_GBK" w:cs="Times New Roman"/>
          <w:sz w:val="32"/>
          <w:szCs w:val="32"/>
          <w:highlight w:val="none"/>
          <w:u w:val="none"/>
          <w:lang w:eastAsia="zh-CN"/>
        </w:rPr>
        <w:t>数</w:t>
      </w:r>
      <w:r>
        <w:rPr>
          <w:rFonts w:hint="default" w:ascii="Times New Roman" w:hAnsi="Times New Roman" w:eastAsia="方正仿宋_GBK" w:cs="Times New Roman"/>
          <w:sz w:val="32"/>
          <w:szCs w:val="32"/>
          <w:highlight w:val="none"/>
          <w:u w:val="none"/>
        </w:rPr>
        <w:t>量</w:t>
      </w:r>
      <w:r>
        <w:rPr>
          <w:rFonts w:hint="default" w:ascii="Times New Roman" w:hAnsi="Times New Roman" w:eastAsia="方正仿宋_GBK" w:cs="Times New Roman"/>
          <w:sz w:val="32"/>
          <w:szCs w:val="32"/>
          <w:highlight w:val="none"/>
          <w:u w:val="none"/>
          <w:lang w:val="en-US" w:eastAsia="zh-CN"/>
        </w:rPr>
        <w:t>达260家</w:t>
      </w:r>
      <w:r>
        <w:rPr>
          <w:rFonts w:hint="default" w:ascii="Times New Roman" w:hAnsi="Times New Roman" w:eastAsia="方正仿宋_GBK" w:cs="Times New Roman"/>
          <w:szCs w:val="32"/>
          <w:highlight w:val="none"/>
          <w:u w:val="none"/>
          <w:lang w:val="en-US" w:eastAsia="zh-CN"/>
        </w:rPr>
        <w:t>，每万人口高价值发明专利拥有数45件，人才创新成果转化率持续提高</w:t>
      </w:r>
      <w:r>
        <w:rPr>
          <w:rFonts w:hint="default" w:ascii="Times New Roman" w:hAnsi="Times New Roman" w:eastAsia="方正仿宋_GBK" w:cs="Times New Roman"/>
          <w:szCs w:val="32"/>
          <w:highlight w:val="none"/>
          <w:u w:val="none"/>
        </w:rPr>
        <w:t>。</w:t>
      </w:r>
    </w:p>
    <w:p w14:paraId="08A6134F">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4.人才环境更加友好</w:t>
      </w:r>
    </w:p>
    <w:p w14:paraId="407A4258">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坚持“投资于人”理念，持续加大人才工作财政投入力度，出台更具竞争力的人才激励政策，不断巩固优化创新创业氛围，稳步完善人才服务保障体系，切实增强人才获得感、幸福感。</w:t>
      </w:r>
    </w:p>
    <w:p w14:paraId="34224C8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楷体_GBK" w:cs="Times New Roman"/>
          <w:szCs w:val="32"/>
          <w:highlight w:val="none"/>
          <w:u w:val="none"/>
          <w:lang w:eastAsia="zh-CN"/>
        </w:rPr>
        <w:t>（</w:t>
      </w:r>
      <w:r>
        <w:rPr>
          <w:rFonts w:hint="default" w:ascii="Times New Roman" w:hAnsi="Times New Roman" w:eastAsia="方正楷体_GBK" w:cs="Times New Roman"/>
          <w:szCs w:val="32"/>
          <w:highlight w:val="none"/>
          <w:u w:val="none"/>
          <w:lang w:val="en-US" w:eastAsia="zh-CN"/>
        </w:rPr>
        <w:t>四</w:t>
      </w:r>
      <w:r>
        <w:rPr>
          <w:rFonts w:hint="default" w:ascii="Times New Roman" w:hAnsi="Times New Roman" w:eastAsia="方正楷体_GBK" w:cs="Times New Roman"/>
          <w:szCs w:val="32"/>
          <w:highlight w:val="none"/>
          <w:u w:val="none"/>
          <w:lang w:eastAsia="zh-CN"/>
        </w:rPr>
        <w:t>）</w:t>
      </w:r>
      <w:r>
        <w:rPr>
          <w:rFonts w:hint="default" w:ascii="Times New Roman" w:hAnsi="Times New Roman" w:eastAsia="方正楷体_GBK" w:cs="Times New Roman"/>
          <w:szCs w:val="32"/>
          <w:highlight w:val="none"/>
          <w:u w:val="none"/>
          <w:lang w:val="en-US" w:eastAsia="zh-CN"/>
        </w:rPr>
        <w:t>重点任务</w:t>
      </w:r>
    </w:p>
    <w:p w14:paraId="30283452">
      <w:pPr>
        <w:keepNext w:val="0"/>
        <w:keepLines w:val="0"/>
        <w:pageBreakBefore w:val="0"/>
        <w:widowControl w:val="0"/>
        <w:kinsoku/>
        <w:wordWrap/>
        <w:overflowPunct/>
        <w:topLinePunct w:val="0"/>
        <w:bidi w:val="0"/>
        <w:adjustRightInd/>
        <w:snapToGrid/>
        <w:spacing w:line="594" w:lineRule="exact"/>
        <w:ind w:firstLine="643" w:firstLineChars="200"/>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kern w:val="2"/>
          <w:sz w:val="32"/>
          <w:szCs w:val="32"/>
          <w:highlight w:val="none"/>
          <w:u w:val="none"/>
          <w:lang w:val="en-US" w:eastAsia="zh-CN" w:bidi="ar-SA"/>
        </w:rPr>
        <w:t>1.打造加</w:t>
      </w:r>
      <w:r>
        <w:rPr>
          <w:rFonts w:hint="default" w:ascii="Times New Roman" w:hAnsi="Times New Roman" w:eastAsia="方正仿宋_GBK" w:cs="Times New Roman"/>
          <w:b/>
          <w:bCs/>
          <w:szCs w:val="32"/>
          <w:highlight w:val="none"/>
          <w:u w:val="none"/>
          <w:lang w:val="en-US" w:eastAsia="zh-CN"/>
        </w:rPr>
        <w:t>速融入长三角一体化的先行区</w:t>
      </w:r>
    </w:p>
    <w:p w14:paraId="08D07488">
      <w:pPr>
        <w:keepNext w:val="0"/>
        <w:keepLines w:val="0"/>
        <w:pageBreakBefore w:val="0"/>
        <w:widowControl w:val="0"/>
        <w:kinsoku/>
        <w:wordWrap/>
        <w:overflowPunct/>
        <w:topLinePunct w:val="0"/>
        <w:bidi w:val="0"/>
        <w:adjustRightInd/>
        <w:snapToGrid/>
        <w:spacing w:line="594" w:lineRule="exact"/>
        <w:ind w:firstLine="640" w:firstLineChars="200"/>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锚定长三角一体化发展国家战略，全面对接上海、南京、苏州等长三角核心城市，深度融入区域人才协同发展格局。探索与长三角重点城市在人才政策互联互通、职业资格互认、平台资源共享等方面开展务实合作，深化离岸创新中心、人才工作站等载体建设，加强与省级学会、高校校友会等社会组织的常态化联系，促进人才要素自由流动与高效配置，加速吸引长三角优质人才资源向海陵汇聚，助力海陵在区域人才发展雁阵中占据先发位置。</w:t>
      </w:r>
    </w:p>
    <w:p w14:paraId="22C16F8E">
      <w:pPr>
        <w:keepNext w:val="0"/>
        <w:keepLines w:val="0"/>
        <w:pageBreakBefore w:val="0"/>
        <w:widowControl w:val="0"/>
        <w:kinsoku/>
        <w:wordWrap/>
        <w:overflowPunct/>
        <w:topLinePunct w:val="0"/>
        <w:bidi w:val="0"/>
        <w:adjustRightInd/>
        <w:snapToGrid/>
        <w:spacing w:line="594" w:lineRule="exact"/>
        <w:ind w:firstLine="643" w:firstLineChars="200"/>
        <w:textAlignment w:val="auto"/>
        <w:rPr>
          <w:rFonts w:hint="default" w:ascii="Times New Roman" w:hAnsi="Times New Roman" w:eastAsia="方正仿宋_GBK" w:cs="Times New Roman"/>
          <w:b/>
          <w:bCs/>
          <w:kern w:val="2"/>
          <w:sz w:val="32"/>
          <w:szCs w:val="32"/>
          <w:highlight w:val="none"/>
          <w:u w:val="none"/>
          <w:lang w:val="en-US" w:eastAsia="zh-CN" w:bidi="ar-SA"/>
        </w:rPr>
      </w:pPr>
      <w:r>
        <w:rPr>
          <w:rFonts w:hint="default" w:ascii="Times New Roman" w:hAnsi="Times New Roman" w:eastAsia="方正仿宋_GBK" w:cs="Times New Roman"/>
          <w:b/>
          <w:bCs/>
          <w:kern w:val="2"/>
          <w:sz w:val="32"/>
          <w:szCs w:val="32"/>
          <w:highlight w:val="none"/>
          <w:u w:val="none"/>
          <w:lang w:val="en-US" w:eastAsia="zh-CN" w:bidi="ar-SA"/>
        </w:rPr>
        <w:t>2.打造加速推进产才融合发展的</w:t>
      </w:r>
      <w:r>
        <w:rPr>
          <w:rFonts w:hint="default" w:ascii="Times New Roman" w:hAnsi="Times New Roman" w:eastAsia="方正仿宋_GBK" w:cs="Times New Roman"/>
          <w:b/>
          <w:bCs/>
          <w:szCs w:val="32"/>
          <w:highlight w:val="none"/>
          <w:u w:val="none"/>
          <w:lang w:val="en-US" w:eastAsia="zh-CN"/>
        </w:rPr>
        <w:t>示范</w:t>
      </w:r>
      <w:r>
        <w:rPr>
          <w:rFonts w:hint="default" w:ascii="Times New Roman" w:hAnsi="Times New Roman" w:eastAsia="方正仿宋_GBK" w:cs="Times New Roman"/>
          <w:b/>
          <w:bCs/>
          <w:kern w:val="2"/>
          <w:sz w:val="32"/>
          <w:szCs w:val="32"/>
          <w:highlight w:val="none"/>
          <w:u w:val="none"/>
          <w:lang w:val="en-US" w:eastAsia="zh-CN" w:bidi="ar-SA"/>
        </w:rPr>
        <w:t>区</w:t>
      </w:r>
    </w:p>
    <w:p w14:paraId="4EF3E11F">
      <w:pPr>
        <w:keepNext w:val="0"/>
        <w:keepLines w:val="0"/>
        <w:pageBreakBefore w:val="0"/>
        <w:widowControl w:val="0"/>
        <w:kinsoku/>
        <w:wordWrap/>
        <w:overflowPunct/>
        <w:topLinePunct w:val="0"/>
        <w:bidi w:val="0"/>
        <w:adjustRightInd/>
        <w:snapToGrid/>
        <w:spacing w:line="594" w:lineRule="exact"/>
        <w:ind w:firstLine="640" w:firstLineChars="200"/>
        <w:textAlignment w:val="auto"/>
        <w:rPr>
          <w:rFonts w:hint="default" w:ascii="Times New Roman" w:hAnsi="Times New Roman" w:cs="Times New Roman"/>
          <w:highlight w:val="none"/>
          <w:lang w:val="en-US" w:eastAsia="zh-CN"/>
        </w:rPr>
      </w:pPr>
      <w:r>
        <w:rPr>
          <w:rFonts w:hint="default" w:ascii="Times New Roman" w:hAnsi="Times New Roman" w:eastAsia="方正仿宋_GBK" w:cs="Times New Roman"/>
          <w:szCs w:val="32"/>
          <w:highlight w:val="none"/>
          <w:u w:val="none"/>
          <w:lang w:val="en-US" w:eastAsia="zh-CN"/>
        </w:rPr>
        <w:t>深化“政府+高校+企业”三方联动模</w:t>
      </w:r>
      <w:r>
        <w:rPr>
          <w:rFonts w:hint="default" w:ascii="Times New Roman" w:hAnsi="Times New Roman" w:cs="Times New Roman"/>
          <w:highlight w:val="none"/>
          <w:lang w:val="en-US" w:eastAsia="zh-CN"/>
        </w:rPr>
        <w:t>式，高标准举办“泰州日”系列活动，将“走出去”和“引进来”相结合，搭建校企地供需对接桥梁，推动</w:t>
      </w:r>
      <w:r>
        <w:rPr>
          <w:rFonts w:hint="eastAsia" w:ascii="Times New Roman" w:hAnsi="Times New Roman" w:cs="Times New Roman"/>
          <w:highlight w:val="none"/>
          <w:lang w:val="en-US" w:eastAsia="zh-CN"/>
        </w:rPr>
        <w:t>创新链、产业链、人才链、资金链</w:t>
      </w:r>
      <w:r>
        <w:rPr>
          <w:rFonts w:hint="default" w:ascii="Times New Roman" w:hAnsi="Times New Roman" w:cs="Times New Roman"/>
          <w:highlight w:val="none"/>
          <w:lang w:val="en-US" w:eastAsia="zh-CN"/>
        </w:rPr>
        <w:t>、教育链“五链融合”。围绕海陵区发展需求，与省内外重点高校、职业院校探索共建人才培养基地和联合研发中心，定向培养产业急需的技能型、应用型、创新型人才，推动高校科研成果与海陵“新车智数”主导产业精准对接，实现落地转化。</w:t>
      </w:r>
    </w:p>
    <w:p w14:paraId="6A378126">
      <w:pPr>
        <w:keepNext w:val="0"/>
        <w:keepLines w:val="0"/>
        <w:pageBreakBefore w:val="0"/>
        <w:widowControl w:val="0"/>
        <w:kinsoku/>
        <w:wordWrap/>
        <w:overflowPunct/>
        <w:topLinePunct w:val="0"/>
        <w:bidi w:val="0"/>
        <w:adjustRightInd/>
        <w:snapToGrid/>
        <w:spacing w:line="594" w:lineRule="exact"/>
        <w:ind w:firstLine="643" w:firstLineChars="200"/>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3.打造加速推动青年人才集聚的样板区</w:t>
      </w:r>
    </w:p>
    <w:p w14:paraId="046464A2">
      <w:pPr>
        <w:keepNext w:val="0"/>
        <w:keepLines w:val="0"/>
        <w:pageBreakBefore w:val="0"/>
        <w:widowControl w:val="0"/>
        <w:kinsoku/>
        <w:wordWrap/>
        <w:overflowPunct/>
        <w:topLinePunct w:val="0"/>
        <w:bidi w:val="0"/>
        <w:adjustRightInd/>
        <w:snapToGrid/>
        <w:spacing w:line="594" w:lineRule="exact"/>
        <w:ind w:firstLine="64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围绕“强富美高”新海陵现代化建设目标，聚焦青年人才“引育留用”全链条，构建具有区域吸引力与竞争力的青年人才发展生态。注重支持青年人才创新创业、成就事业，建立健全青年人才职业生涯全程支持体系，加速青年成长。聚焦青年</w:t>
      </w:r>
      <w:r>
        <w:rPr>
          <w:rFonts w:hint="eastAsia" w:ascii="Times New Roman" w:hAnsi="Times New Roman" w:cs="Times New Roman"/>
          <w:highlight w:val="none"/>
          <w:lang w:val="en-US" w:eastAsia="zh-CN"/>
        </w:rPr>
        <w:t>急难愁盼问题</w:t>
      </w:r>
      <w:r>
        <w:rPr>
          <w:rFonts w:hint="default" w:ascii="Times New Roman" w:hAnsi="Times New Roman" w:cs="Times New Roman"/>
          <w:highlight w:val="none"/>
          <w:lang w:val="en-US" w:eastAsia="zh-CN"/>
        </w:rPr>
        <w:t>，用心用情办实事、解难题、送温暖，着力降低青年人才安居乐业成本。大力营造活力开放、包容友善的城市氛围，增强青年归属感与认同感，让海陵成为广大青年人才向往之地、荟萃之地、成就之地。</w:t>
      </w:r>
    </w:p>
    <w:p w14:paraId="5EC706CE">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黑体_GBK" w:cs="Times New Roman"/>
          <w:szCs w:val="32"/>
          <w:highlight w:val="none"/>
          <w:u w:val="none"/>
          <w:lang w:val="en-US" w:eastAsia="zh-CN"/>
        </w:rPr>
      </w:pPr>
      <w:r>
        <w:rPr>
          <w:rFonts w:hint="default" w:ascii="Times New Roman" w:hAnsi="Times New Roman" w:eastAsia="方正黑体_GBK" w:cs="Times New Roman"/>
          <w:szCs w:val="32"/>
          <w:highlight w:val="none"/>
          <w:u w:val="none"/>
          <w:lang w:val="en-US" w:eastAsia="zh-CN"/>
        </w:rPr>
        <w:t>三、重点工作举措</w:t>
      </w:r>
    </w:p>
    <w:p w14:paraId="5E3312D0">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楷体_GBK" w:cs="Times New Roman"/>
          <w:szCs w:val="32"/>
          <w:highlight w:val="none"/>
          <w:u w:val="none"/>
          <w:lang w:val="en-US" w:eastAsia="zh-CN"/>
        </w:rPr>
        <w:t>（一）实施“陵聚人才”计划，打造契合海陵发展的高质量人才队伍</w:t>
      </w:r>
    </w:p>
    <w:p w14:paraId="72191153">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 w:val="32"/>
          <w:szCs w:val="32"/>
          <w:highlight w:val="none"/>
          <w:u w:val="none"/>
        </w:rPr>
      </w:pPr>
      <w:r>
        <w:rPr>
          <w:rFonts w:hint="default" w:ascii="Times New Roman" w:hAnsi="Times New Roman" w:eastAsia="方正仿宋_GBK" w:cs="Times New Roman"/>
          <w:b/>
          <w:bCs/>
          <w:sz w:val="32"/>
          <w:szCs w:val="32"/>
          <w:highlight w:val="none"/>
          <w:u w:val="none"/>
        </w:rPr>
        <w:t>1.实施高层次人才集聚计划，引领产业核心技术突破</w:t>
      </w:r>
    </w:p>
    <w:p w14:paraId="7FA360A0">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紧扣产业发展需要，实施积极、开放、精准的高层次人才集聚战略。围绕国家及省、市重大人才计划，瞄准重点产业领域，着力引进掌握关键核心技术、具备前瞻视野的国内外一流科学家与产业领军人才。通过</w:t>
      </w:r>
      <w:r>
        <w:rPr>
          <w:rFonts w:hint="eastAsia" w:ascii="Times New Roman" w:hAnsi="Times New Roman" w:eastAsia="方正仿宋_GBK" w:cs="Times New Roman"/>
          <w:sz w:val="32"/>
          <w:szCs w:val="32"/>
          <w:highlight w:val="none"/>
          <w:lang w:val="en-US" w:eastAsia="zh-CN"/>
        </w:rPr>
        <w:t>逐个</w:t>
      </w:r>
      <w:r>
        <w:rPr>
          <w:rFonts w:hint="default" w:ascii="Times New Roman" w:hAnsi="Times New Roman" w:eastAsia="方正仿宋_GBK" w:cs="Times New Roman"/>
          <w:sz w:val="32"/>
          <w:szCs w:val="32"/>
          <w:highlight w:val="none"/>
          <w:lang w:val="en-US" w:eastAsia="zh-CN"/>
        </w:rPr>
        <w:t>产业链建立“关键技术需求”与“紧缺人才需求”两张清单，构建“精准识别—快速落地—全程护航”的全周期引才服务模式，并对新引进的紧缺人才及团队给予“一事一议”专项支持。支持龙头及链主企业牵头组建关键核心技术攻关联合体，积极创建省级以上首台（套）重大装备、首批次新材料等标志性成果，以智能化改造和数字化转型推动产业升级。秉持“不求所有、但求所用”的柔性引才理念，大力推广“周末工程师”“候鸟专家”等模式，通过短期聘用、项目合作、技术咨询等多种形式，推动人才智力资源跨区域、跨体制高效协同。</w:t>
      </w:r>
    </w:p>
    <w:p w14:paraId="3B224B8A">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 w:val="32"/>
          <w:szCs w:val="32"/>
          <w:highlight w:val="none"/>
          <w:u w:val="none"/>
        </w:rPr>
      </w:pPr>
      <w:r>
        <w:rPr>
          <w:rFonts w:hint="default" w:ascii="Times New Roman" w:hAnsi="Times New Roman" w:eastAsia="方正仿宋_GBK" w:cs="Times New Roman"/>
          <w:b/>
          <w:bCs/>
          <w:sz w:val="32"/>
          <w:szCs w:val="32"/>
          <w:highlight w:val="none"/>
          <w:u w:val="none"/>
        </w:rPr>
        <w:t>2.实施青年人才集聚计划，夯实产业发展后备力量</w:t>
      </w:r>
    </w:p>
    <w:p w14:paraId="1A56B27A">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深化校地企战略合作，聚焦海陵主导产业核心领域，精准对接国内外具有学科优势的高校院所，定期举办城市推介会、重点产业链校园专场招聘等活动，持续提升海陵产业人才吸引力与城市影响力。摸排海陵籍在外大学生、青年人才信息，建立动态更新与精准推送机制，</w:t>
      </w:r>
      <w:r>
        <w:rPr>
          <w:rFonts w:hint="default" w:ascii="Times New Roman" w:hAnsi="Times New Roman" w:eastAsia="方正仿宋_GBK" w:cs="Times New Roman"/>
          <w:sz w:val="32"/>
          <w:szCs w:val="32"/>
          <w:highlight w:val="none"/>
          <w:u w:val="none"/>
          <w:lang w:val="en-US" w:eastAsia="zh-CN"/>
        </w:rPr>
        <w:t>针对高校在校生、应届生定向推送社会实践岗位、产业适配岗位、人才政策及专项福利礼包，引导青年人才建功家乡。</w:t>
      </w:r>
      <w:r>
        <w:rPr>
          <w:rFonts w:hint="default" w:ascii="Times New Roman" w:hAnsi="Times New Roman" w:eastAsia="方正仿宋_GBK" w:cs="Times New Roman"/>
          <w:sz w:val="32"/>
          <w:szCs w:val="32"/>
          <w:highlight w:val="none"/>
          <w:lang w:val="en-US" w:eastAsia="zh-CN"/>
        </w:rPr>
        <w:t>持续更新优化“陵创星图”、人才陪跑“光合计划”等品牌载体，构建全周期青年人才成长赋能体系，助力青年人才事业起步、成长成才。推动青年创客培育向“精准赋能、产业适配”升级，做深做实“青商接力 创业启航”项目的“后半篇文章”，聚焦主导产业细分领域强化优质项目储备、孵化与落地转化，打造一批产业导向明确、成长潜力突出的青年创业标杆项目。到2030年底，新增青年人才3万人以上，为海陵构建现代化产业体系提供坚实的青年人才支撑。</w:t>
      </w:r>
    </w:p>
    <w:p w14:paraId="53694B7B">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 w:val="32"/>
          <w:szCs w:val="32"/>
          <w:highlight w:val="none"/>
          <w:u w:val="none"/>
        </w:rPr>
      </w:pPr>
      <w:r>
        <w:rPr>
          <w:rFonts w:hint="default" w:ascii="Times New Roman" w:hAnsi="Times New Roman" w:eastAsia="方正仿宋_GBK" w:cs="Times New Roman"/>
          <w:b/>
          <w:bCs/>
          <w:sz w:val="32"/>
          <w:szCs w:val="32"/>
          <w:highlight w:val="none"/>
          <w:u w:val="none"/>
        </w:rPr>
        <w:t>3.实施高技能人才集聚计划，筑牢产业发展技能根基</w:t>
      </w:r>
    </w:p>
    <w:p w14:paraId="7C44B5BF">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紧扣主导产业转型升级需求，加大复合型技术技能人才培养力度，强化区属民办职业培训学校规范化办学评估，深化海陵工匠学院联盟协同效能，构建“企业主体、职校基础、社会参与、政府推动”的产业工人培育体系，推动技能培养与产业需求精准对接。坚持以高技能人才培养为抓手，聚焦企业核心生产环节，加强企业卓越技师、技能大师工作室培育，积极推荐高技能人才参评国家、省、市高技能人才重点项目，打造技能人才成长标杆。顺应数字经济发展趋势，开展人工智能训练师、无人机测绘操控员、电子商务师等新兴职业技能培训，填补产业一线数字技能人才缺口。完善“以赛促学、以赛促练、以赛促评”激励奖补政策，举办职业技能竞赛，实施“未来工匠”“卓越工程师”“首席数据官”等培养计划，精准引育产业急需技能人才。指导企业规范开展职业技能等级认定备案，增设数字人才相关职业工种。鼓励大型企业制定技能人才发展战略，全面推行“新八级工”技能岗位等级设置，坚持“技高者多得、创新者多得”，健全完善技能评价与薪酬待遇挂钩制度，激发技能人才创新活力。到2030年底，新增高技能人才3000人以上，建成一支与现代化产业体系相适配的高素质技能人才队伍。</w:t>
      </w:r>
    </w:p>
    <w:p w14:paraId="26AA96AD">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 w:val="32"/>
          <w:szCs w:val="32"/>
          <w:highlight w:val="none"/>
          <w:u w:val="none"/>
        </w:rPr>
      </w:pPr>
      <w:r>
        <w:rPr>
          <w:rFonts w:hint="default" w:ascii="Times New Roman" w:hAnsi="Times New Roman" w:eastAsia="方正仿宋_GBK" w:cs="Times New Roman"/>
          <w:b/>
          <w:bCs/>
          <w:sz w:val="32"/>
          <w:szCs w:val="32"/>
          <w:highlight w:val="none"/>
          <w:u w:val="none"/>
        </w:rPr>
        <w:t>4.实施乡村振兴人才集聚计划，激活乡村发展内生动力</w:t>
      </w:r>
    </w:p>
    <w:p w14:paraId="75BDD60D">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实施“新农人”培育提质行动计划，重点培育“新农匠”“新农创”“新农技”三类人才群体。整合区域性农业综合服务中心、农民田间学校等资源，构建“理论教学+实践实训+创业孵化”一体化培育平台。</w:t>
      </w:r>
      <w:r>
        <w:rPr>
          <w:rFonts w:hint="default" w:ascii="Times New Roman" w:hAnsi="Times New Roman" w:eastAsia="方正仿宋_GBK" w:cs="Times New Roman"/>
          <w:strike w:val="0"/>
          <w:dstrike w:val="0"/>
          <w:sz w:val="32"/>
          <w:szCs w:val="32"/>
          <w:highlight w:val="none"/>
          <w:lang w:val="en-US" w:eastAsia="zh-CN"/>
        </w:rPr>
        <w:t>强化</w:t>
      </w:r>
      <w:r>
        <w:rPr>
          <w:rFonts w:hint="default" w:ascii="Times New Roman" w:hAnsi="Times New Roman" w:eastAsia="方正仿宋_GBK" w:cs="Times New Roman"/>
          <w:sz w:val="32"/>
          <w:szCs w:val="32"/>
          <w:highlight w:val="none"/>
          <w:lang w:val="en-US" w:eastAsia="zh-CN"/>
        </w:rPr>
        <w:t>新农人创新创业扶持，为新农人开展产业发展、农技推广主体培育等项目提供多方支持。围绕“三水一花”特色农业产业发展，实施“特派农技专家+新农人”结对赋能计划，鼓励专家服务团队积极参与农业科技综合展示基地建设，打造“专家下沉—技术落地—产业增收”闭环。聚焦乡村治理与产业发展需求，大力引培一批乡村振兴带头人，提升乡村经营管理与产业发展能力。到2030年底，全区重点培育新农人头雁15人，形成结构合理、活力充沛的新农人雁阵50余人，为乡村振兴提供坚实人才支撑。</w:t>
      </w:r>
    </w:p>
    <w:p w14:paraId="17D5F42C">
      <w:pPr>
        <w:keepNext w:val="0"/>
        <w:keepLines w:val="0"/>
        <w:pageBreakBefore w:val="0"/>
        <w:widowControl w:val="0"/>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 w:val="32"/>
          <w:szCs w:val="32"/>
          <w:highlight w:val="none"/>
          <w:u w:val="none"/>
        </w:rPr>
      </w:pPr>
      <w:r>
        <w:rPr>
          <w:rFonts w:hint="default" w:ascii="Times New Roman" w:hAnsi="Times New Roman" w:eastAsia="方正仿宋_GBK" w:cs="Times New Roman"/>
          <w:b/>
          <w:bCs/>
          <w:sz w:val="32"/>
          <w:szCs w:val="32"/>
          <w:highlight w:val="none"/>
          <w:u w:val="none"/>
        </w:rPr>
        <w:t>5.实施社会事业人才集聚计划，提升公共服务供给质效</w:t>
      </w:r>
    </w:p>
    <w:p w14:paraId="165A6620">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聚焦教育、卫生、社工、宣传文化等重点社会事业领域，实施人才提质扩容工程，打造专业化、高素质的社会事业人才队伍，助力民生福祉提升。</w:t>
      </w:r>
    </w:p>
    <w:p w14:paraId="2A41D3EB">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建强教育人才队伍。积极构建“中心—片区—学校”三级教研体系，分类实施新教师规范化培养“启航计划”、骨干教师高阶研修“续航计划”、卓越教师卓越引领“领航计划”、关键岗位专项赋能“特需计划”，形成全周期教师成长培育体系。推进区域城乡师资一体化均衡发展，定向培养乡村学校“种子教师”。调优教师队伍结构，加强教师招聘岗位向音乐、美术、体育、劳动、科学、心理健康等学科倾斜。到2030年底，初步建成区域领先的教师发展创新中心，力争培养3至5名专家型名校长，新增正高级教师、特级教师8名，新培育新锐教师200名，全区教师具备研究生学历达5%。</w:t>
      </w:r>
    </w:p>
    <w:p w14:paraId="3F3F20D9">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建强卫生人才队伍。深化“医教协同、医研融合”，密切对接重点医学院校、三甲医院及科研机构，放大华山医院泰州合作医院效应，精准吸纳学科带头人、临床领军人才、青年拔尖人才及创新团队，打造优势学科团队</w:t>
      </w:r>
      <w:r>
        <w:rPr>
          <w:rFonts w:hint="default" w:ascii="Times New Roman" w:hAnsi="Times New Roman" w:eastAsia="方正仿宋_GBK" w:cs="Times New Roman"/>
          <w:b w:val="0"/>
          <w:bCs w:val="0"/>
          <w:strike w:val="0"/>
          <w:dstrike w:val="0"/>
          <w:szCs w:val="32"/>
          <w:highlight w:val="none"/>
          <w:u w:val="none"/>
          <w:lang w:val="en-US" w:eastAsia="zh-CN"/>
        </w:rPr>
        <w:t>，鼓励开展前沿医疗技术研究与临床应用转化</w:t>
      </w:r>
      <w:r>
        <w:rPr>
          <w:rFonts w:hint="default" w:ascii="Times New Roman" w:hAnsi="Times New Roman" w:eastAsia="方正仿宋_GBK" w:cs="Times New Roman"/>
          <w:b w:val="0"/>
          <w:bCs w:val="0"/>
          <w:szCs w:val="32"/>
          <w:highlight w:val="none"/>
          <w:u w:val="none"/>
          <w:lang w:val="en-US" w:eastAsia="zh-CN"/>
        </w:rPr>
        <w:t>。实施本土高层次卫生人才培育计划，重点加强儿科、精神卫生、急诊、</w:t>
      </w:r>
      <w:r>
        <w:rPr>
          <w:rFonts w:hint="default" w:ascii="Times New Roman" w:hAnsi="Times New Roman" w:eastAsia="方正仿宋_GBK" w:cs="Times New Roman"/>
          <w:b w:val="0"/>
          <w:bCs w:val="0"/>
          <w:strike w:val="0"/>
          <w:dstrike w:val="0"/>
          <w:szCs w:val="32"/>
          <w:highlight w:val="none"/>
          <w:u w:val="none"/>
          <w:lang w:val="en-US" w:eastAsia="zh-CN"/>
        </w:rPr>
        <w:t>康复治疗</w:t>
      </w:r>
      <w:r>
        <w:rPr>
          <w:rFonts w:hint="default" w:ascii="Times New Roman" w:hAnsi="Times New Roman" w:eastAsia="方正仿宋_GBK" w:cs="Times New Roman"/>
          <w:b w:val="0"/>
          <w:bCs w:val="0"/>
          <w:szCs w:val="32"/>
          <w:highlight w:val="none"/>
          <w:u w:val="none"/>
          <w:lang w:val="en-US" w:eastAsia="zh-CN"/>
        </w:rPr>
        <w:t>等急需紧缺专业人才培养，通过“名师带徒”、专项研修、参与科研项目等方式加速人才成长。稳步推进全科医生特岗计划、农村订单定向医学生免费培养、大学生乡村医生专项计划落地见效。</w:t>
      </w:r>
    </w:p>
    <w:p w14:paraId="3DF52C24">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zCs w:val="32"/>
          <w:highlight w:val="none"/>
          <w:u w:val="none"/>
          <w:lang w:val="en-US" w:eastAsia="zh-CN"/>
        </w:rPr>
      </w:pPr>
      <w:r>
        <w:rPr>
          <w:rFonts w:hint="default" w:ascii="Times New Roman" w:hAnsi="Times New Roman" w:eastAsia="方正仿宋_GBK" w:cs="Times New Roman"/>
          <w:b w:val="0"/>
          <w:bCs w:val="0"/>
          <w:szCs w:val="32"/>
          <w:highlight w:val="none"/>
          <w:u w:val="none"/>
          <w:lang w:val="en-US" w:eastAsia="zh-CN"/>
        </w:rPr>
        <w:t>建强社工人才队伍。全面推广“全科社工”模式，推进社</w:t>
      </w:r>
      <w:r>
        <w:rPr>
          <w:rFonts w:hint="default" w:ascii="Times New Roman" w:hAnsi="Times New Roman" w:eastAsia="方正仿宋_GBK" w:cs="Times New Roman"/>
          <w:b w:val="0"/>
          <w:bCs w:val="0"/>
          <w:strike w:val="0"/>
          <w:dstrike w:val="0"/>
          <w:szCs w:val="32"/>
          <w:highlight w:val="none"/>
          <w:u w:val="none"/>
          <w:lang w:val="en-US" w:eastAsia="zh-CN"/>
        </w:rPr>
        <w:t>区</w:t>
      </w:r>
      <w:r>
        <w:rPr>
          <w:rFonts w:hint="default" w:ascii="Times New Roman" w:hAnsi="Times New Roman" w:eastAsia="方正仿宋_GBK" w:cs="Times New Roman"/>
          <w:b w:val="0"/>
          <w:bCs w:val="0"/>
          <w:szCs w:val="32"/>
          <w:highlight w:val="none"/>
          <w:u w:val="none"/>
          <w:lang w:val="en-US" w:eastAsia="zh-CN"/>
        </w:rPr>
        <w:t>工作者职业体系建设，有序推进专职网格员定向招录为职业化管理社区工作者。动员社区工作者、网格员等社会工作人员参加全国社会工作者职业资格考试等资格认定、能力提升考试，</w:t>
      </w:r>
      <w:r>
        <w:rPr>
          <w:rFonts w:hint="default" w:ascii="Times New Roman" w:hAnsi="Times New Roman" w:eastAsia="方正仿宋_GBK" w:cs="Times New Roman"/>
          <w:b w:val="0"/>
          <w:bCs w:val="0"/>
          <w:strike w:val="0"/>
          <w:dstrike w:val="0"/>
          <w:szCs w:val="32"/>
          <w:highlight w:val="none"/>
          <w:u w:val="none"/>
          <w:lang w:val="en-US" w:eastAsia="zh-CN"/>
        </w:rPr>
        <w:t>提升全区社会工作专业水准</w:t>
      </w:r>
      <w:r>
        <w:rPr>
          <w:rFonts w:hint="default" w:ascii="Times New Roman" w:hAnsi="Times New Roman" w:eastAsia="方正仿宋_GBK" w:cs="Times New Roman"/>
          <w:b w:val="0"/>
          <w:bCs w:val="0"/>
          <w:szCs w:val="32"/>
          <w:highlight w:val="none"/>
          <w:u w:val="none"/>
          <w:lang w:val="en-US" w:eastAsia="zh-CN"/>
        </w:rPr>
        <w:t>。推进“专业社工带领志愿者、志愿者协助专业社工”融合发展模式，进一步推广“社志融合”。发挥社工名师示范引领作用，鼓励名师参加师徒结对，以“头雁效应”强化梯次建设。到2028年实现各村（社区）配备2名以上“全科社工”，2030年底各村（社区）均培育1支常态活跃志愿组织或1名领军型志愿者。</w:t>
      </w:r>
    </w:p>
    <w:p w14:paraId="15B2F8DC">
      <w:pPr>
        <w:keepNext w:val="0"/>
        <w:keepLines w:val="0"/>
        <w:pageBreakBefore w:val="0"/>
        <w:kinsoku/>
        <w:wordWrap/>
        <w:overflowPunct/>
        <w:topLinePunct w:val="0"/>
        <w:bidi w:val="0"/>
        <w:adjustRightInd/>
        <w:snapToGrid/>
        <w:spacing w:line="594" w:lineRule="exact"/>
        <w:ind w:firstLine="640" w:firstLineChars="200"/>
        <w:textAlignment w:val="auto"/>
        <w:rPr>
          <w:rFonts w:hint="default" w:ascii="Times New Roman" w:hAnsi="Times New Roman" w:eastAsia="方正仿宋_GBK" w:cs="Times New Roman"/>
          <w:b w:val="0"/>
          <w:bCs w:val="0"/>
          <w:szCs w:val="32"/>
          <w:highlight w:val="none"/>
          <w:u w:val="single"/>
          <w:lang w:val="en-US" w:eastAsia="zh-CN"/>
        </w:rPr>
      </w:pPr>
      <w:r>
        <w:rPr>
          <w:rFonts w:hint="default" w:ascii="Times New Roman" w:hAnsi="Times New Roman" w:eastAsia="方正仿宋_GBK" w:cs="Times New Roman"/>
          <w:sz w:val="32"/>
          <w:szCs w:val="32"/>
          <w:highlight w:val="none"/>
        </w:rPr>
        <w:t>建强文</w:t>
      </w:r>
      <w:r>
        <w:rPr>
          <w:rFonts w:hint="default" w:ascii="Times New Roman" w:hAnsi="Times New Roman" w:eastAsia="方正仿宋_GBK" w:cs="Times New Roman"/>
          <w:sz w:val="32"/>
          <w:szCs w:val="32"/>
          <w:highlight w:val="none"/>
          <w:lang w:val="en-US" w:eastAsia="zh-CN"/>
        </w:rPr>
        <w:t>体</w:t>
      </w:r>
      <w:r>
        <w:rPr>
          <w:rFonts w:hint="default" w:ascii="Times New Roman" w:hAnsi="Times New Roman" w:eastAsia="方正仿宋_GBK" w:cs="Times New Roman"/>
          <w:sz w:val="32"/>
          <w:szCs w:val="32"/>
          <w:highlight w:val="none"/>
        </w:rPr>
        <w:t>人才队伍。紧扣非遗传承、古城古街区复兴等</w:t>
      </w:r>
      <w:r>
        <w:rPr>
          <w:rFonts w:hint="default" w:ascii="Times New Roman" w:hAnsi="Times New Roman" w:eastAsia="方正仿宋_GBK" w:cs="Times New Roman"/>
          <w:sz w:val="32"/>
          <w:szCs w:val="32"/>
          <w:highlight w:val="none"/>
          <w:lang w:val="en-US" w:eastAsia="zh-CN"/>
        </w:rPr>
        <w:t>课题</w:t>
      </w:r>
      <w:r>
        <w:rPr>
          <w:rFonts w:hint="default" w:ascii="Times New Roman" w:hAnsi="Times New Roman" w:eastAsia="方正仿宋_GBK" w:cs="Times New Roman"/>
          <w:sz w:val="32"/>
          <w:szCs w:val="32"/>
          <w:highlight w:val="none"/>
        </w:rPr>
        <w:t>，完善传承人保护机制，支持传承人开展传承培训工作</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着力</w:t>
      </w:r>
      <w:r>
        <w:rPr>
          <w:rFonts w:hint="default" w:ascii="Times New Roman" w:hAnsi="Times New Roman" w:eastAsia="方正仿宋_GBK" w:cs="Times New Roman"/>
          <w:sz w:val="32"/>
          <w:szCs w:val="32"/>
          <w:highlight w:val="none"/>
        </w:rPr>
        <w:t>培养一批文艺创作尖兵和公共文化服务能手，鼓励投身基层文化建设，</w:t>
      </w:r>
      <w:r>
        <w:rPr>
          <w:rFonts w:hint="default" w:ascii="Times New Roman" w:hAnsi="Times New Roman" w:eastAsia="方正仿宋_GBK" w:cs="Times New Roman"/>
          <w:sz w:val="32"/>
          <w:szCs w:val="32"/>
          <w:highlight w:val="none"/>
          <w:lang w:val="en-US" w:eastAsia="zh-CN"/>
        </w:rPr>
        <w:t>持续擦亮“梅郎故里、戏曲圣地”城市文化名片，</w:t>
      </w:r>
      <w:r>
        <w:rPr>
          <w:rFonts w:hint="default" w:ascii="Times New Roman" w:hAnsi="Times New Roman" w:eastAsia="方正仿宋_GBK" w:cs="Times New Roman"/>
          <w:sz w:val="32"/>
          <w:szCs w:val="32"/>
          <w:highlight w:val="none"/>
        </w:rPr>
        <w:t>助力</w:t>
      </w:r>
      <w:r>
        <w:rPr>
          <w:rFonts w:hint="default" w:ascii="Times New Roman" w:hAnsi="Times New Roman" w:eastAsia="方正仿宋_GBK" w:cs="Times New Roman"/>
          <w:sz w:val="32"/>
          <w:szCs w:val="32"/>
          <w:highlight w:val="none"/>
          <w:lang w:val="en-US" w:eastAsia="zh-CN"/>
        </w:rPr>
        <w:t>凤城</w:t>
      </w:r>
      <w:r>
        <w:rPr>
          <w:rFonts w:hint="default" w:ascii="Times New Roman" w:hAnsi="Times New Roman" w:eastAsia="方正仿宋_GBK" w:cs="Times New Roman"/>
          <w:sz w:val="32"/>
          <w:szCs w:val="32"/>
          <w:highlight w:val="none"/>
        </w:rPr>
        <w:t>文脉永续相传</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聚焦群众健身需求与青少年体育发展</w:t>
      </w:r>
      <w:r>
        <w:rPr>
          <w:rFonts w:hint="default" w:ascii="Times New Roman" w:hAnsi="Times New Roman" w:eastAsia="方正仿宋_GBK" w:cs="Times New Roman"/>
          <w:sz w:val="32"/>
          <w:szCs w:val="32"/>
          <w:highlight w:val="none"/>
          <w:lang w:val="en-US" w:eastAsia="zh-CN"/>
        </w:rPr>
        <w:t>需要</w:t>
      </w:r>
      <w:r>
        <w:rPr>
          <w:rFonts w:hint="default" w:ascii="Times New Roman" w:hAnsi="Times New Roman" w:eastAsia="方正仿宋_GBK" w:cs="Times New Roman"/>
          <w:sz w:val="32"/>
          <w:szCs w:val="32"/>
          <w:highlight w:val="none"/>
        </w:rPr>
        <w:t>，充分释放</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苏超</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泰超</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首冠效应，培育优秀教练员、专业裁判员和体育后备人才，夯实全民健身体系根基</w:t>
      </w:r>
      <w:r>
        <w:rPr>
          <w:rFonts w:hint="default" w:ascii="Times New Roman" w:hAnsi="Times New Roman" w:eastAsia="方正仿宋_GBK" w:cs="Times New Roman"/>
          <w:sz w:val="32"/>
          <w:szCs w:val="32"/>
          <w:highlight w:val="none"/>
          <w:lang w:eastAsia="zh-CN"/>
        </w:rPr>
        <w:t>。</w:t>
      </w:r>
    </w:p>
    <w:p w14:paraId="1CB6191A">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楷体_GBK" w:cs="Times New Roman"/>
          <w:szCs w:val="32"/>
          <w:highlight w:val="none"/>
          <w:u w:val="none"/>
          <w:lang w:val="en-US" w:eastAsia="zh-CN"/>
        </w:rPr>
        <w:t>（二）全力打造人才发展的优良生态</w:t>
      </w:r>
    </w:p>
    <w:p w14:paraId="7C7D3A59">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1.深化机制创新，激活人才发展内生动力</w:t>
      </w:r>
    </w:p>
    <w:p w14:paraId="14E7F52F">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kern w:val="2"/>
          <w:sz w:val="32"/>
          <w:szCs w:val="32"/>
          <w:highlight w:val="none"/>
          <w:u w:val="none"/>
          <w:lang w:val="en-US" w:eastAsia="zh-CN" w:bidi="ar-SA"/>
        </w:rPr>
      </w:pPr>
      <w:r>
        <w:rPr>
          <w:rFonts w:hint="default" w:ascii="Times New Roman" w:hAnsi="Times New Roman" w:eastAsia="方正仿宋_GBK" w:cs="Times New Roman"/>
          <w:b w:val="0"/>
          <w:bCs w:val="0"/>
          <w:kern w:val="2"/>
          <w:sz w:val="32"/>
          <w:szCs w:val="32"/>
          <w:highlight w:val="none"/>
          <w:u w:val="none"/>
          <w:lang w:val="en-US" w:eastAsia="zh-CN" w:bidi="ar-SA"/>
        </w:rPr>
        <w:t>强化政策支撑。完善顶层设计协同机制，建立区委人才办统筹领导，多部门联动的人才政策协同推进体系，强化规划衔接与资源整合。聚焦人工智能、集成电路、低空经济等新兴产业，加强政策支持引导，实现人才政策与产业政策、科技政策同频共振。加大政策宣传力度，上线“人才政策明白卡”，依托“才企直通车”等载体，推动政策直达快享。优化政策兑付流程，通过数据共享与流程再造，最大限度精简申报材料、压缩审批时限、加快资金拨付，提升政策兑现时效性。强化政策落地见效，探索建立人才政策实施效果评估体系，引入第三方机构开展常态化评估，形成制定—实施—评估—优化的闭环管理。畅通人才政策诉求反馈渠道，及时回应解决人才发展中的实际问题，确保政策红利精准直达。</w:t>
      </w:r>
    </w:p>
    <w:p w14:paraId="1D9FC124">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trike w:val="0"/>
          <w:dstrike w:val="0"/>
          <w:szCs w:val="32"/>
          <w:highlight w:val="none"/>
          <w:u w:val="none"/>
          <w:lang w:val="en-US" w:eastAsia="zh-CN"/>
        </w:rPr>
      </w:pPr>
      <w:r>
        <w:rPr>
          <w:rFonts w:hint="default" w:ascii="Times New Roman" w:hAnsi="Times New Roman" w:eastAsia="方正仿宋_GBK" w:cs="Times New Roman"/>
          <w:b w:val="0"/>
          <w:bCs w:val="0"/>
          <w:kern w:val="2"/>
          <w:sz w:val="32"/>
          <w:szCs w:val="32"/>
          <w:highlight w:val="none"/>
          <w:u w:val="none"/>
          <w:lang w:val="en-US" w:eastAsia="zh-CN" w:bidi="ar-SA"/>
        </w:rPr>
        <w:t>做强人才集团。通过政策赋能与资源倾斜，支持</w:t>
      </w:r>
      <w:r>
        <w:rPr>
          <w:rFonts w:hint="default" w:ascii="Times New Roman" w:hAnsi="Times New Roman" w:eastAsia="方正仿宋_GBK" w:cs="Times New Roman"/>
          <w:sz w:val="32"/>
          <w:szCs w:val="32"/>
          <w:highlight w:val="none"/>
          <w:u w:val="none"/>
          <w:lang w:val="en-US" w:eastAsia="zh-CN"/>
        </w:rPr>
        <w:t>海纳人才科创集团</w:t>
      </w:r>
      <w:r>
        <w:rPr>
          <w:rFonts w:hint="default" w:ascii="Times New Roman" w:hAnsi="Times New Roman" w:eastAsia="方正仿宋_GBK" w:cs="Times New Roman"/>
          <w:b w:val="0"/>
          <w:bCs w:val="0"/>
          <w:kern w:val="2"/>
          <w:sz w:val="32"/>
          <w:szCs w:val="32"/>
          <w:highlight w:val="none"/>
          <w:u w:val="none"/>
          <w:lang w:val="en-US" w:eastAsia="zh-CN" w:bidi="ar-SA"/>
        </w:rPr>
        <w:t>深化城市人才工作“总承包商”与“大服务商”功能定位，打造长三角地区具有核心竞争力的人才科创服务综合体。推动实施“人才强企”战略，强化专业化市场化人才队伍建设，健全以价值贡献为核心的激励机制，夯实公司发展的人才根基。统筹整合各类资源，推动区域内相关国有资产与业务优化重组，夯实集团化运营基础。持续完善“政府引导+市场运作”机制，优化业务发展布局，推动核心业务提质增效，搭建高端人才智库平台提供人才战略咨询支撑，构建市场化、数字化、专业化的人才服务体系。</w:t>
      </w:r>
    </w:p>
    <w:p w14:paraId="3B72E853">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trike w:val="0"/>
          <w:dstrike w:val="0"/>
          <w:szCs w:val="32"/>
          <w:highlight w:val="none"/>
          <w:u w:val="none"/>
          <w:lang w:val="en-US" w:eastAsia="zh-CN"/>
        </w:rPr>
      </w:pPr>
      <w:r>
        <w:rPr>
          <w:rFonts w:hint="default" w:ascii="Times New Roman" w:hAnsi="Times New Roman" w:eastAsia="方正仿宋_GBK" w:cs="Times New Roman"/>
          <w:b w:val="0"/>
          <w:bCs w:val="0"/>
          <w:strike w:val="0"/>
          <w:dstrike w:val="0"/>
          <w:szCs w:val="32"/>
          <w:highlight w:val="none"/>
          <w:u w:val="none"/>
          <w:lang w:val="en-US" w:eastAsia="zh-CN"/>
        </w:rPr>
        <w:t>拓宽集聚渠道。坚持“走出去”与“引进来”双向发力，以“泰州日”系列活动、“智汇海陵”创新创业大赛、“创业江苏”科技创业大赛、“会企对接海陵行”等品牌活动为依托，深化与省科协、省级学会、知名高校的战略合作，促进科技成果转化孵化。充分激活本地区欧美同学会、高校校友会等资源优势，拓展与国内外知名专业学术团体、海外重点留学生组织及华人科技社团的常态化联系，构建多层对接、长效合作的协同机制，广泛吸引海内外高校毕业生和科研人才汇聚海陵。</w:t>
      </w:r>
    </w:p>
    <w:p w14:paraId="5EAB95C1">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b w:val="0"/>
          <w:bCs w:val="0"/>
          <w:strike w:val="0"/>
          <w:dstrike w:val="0"/>
          <w:szCs w:val="32"/>
          <w:highlight w:val="none"/>
          <w:u w:val="none"/>
          <w:lang w:val="en-US" w:eastAsia="zh-CN"/>
        </w:rPr>
      </w:pPr>
      <w:r>
        <w:rPr>
          <w:rFonts w:hint="default" w:ascii="Times New Roman" w:hAnsi="Times New Roman" w:eastAsia="方正仿宋_GBK" w:cs="Times New Roman"/>
          <w:b w:val="0"/>
          <w:bCs w:val="0"/>
          <w:strike w:val="0"/>
          <w:dstrike w:val="0"/>
          <w:szCs w:val="32"/>
          <w:highlight w:val="none"/>
          <w:u w:val="none"/>
          <w:lang w:val="en-US" w:eastAsia="zh-CN"/>
        </w:rPr>
        <w:t>优化评价激励。破除人才唯论文、唯职称、唯学历、唯奖项“四唯”评价倾向，打破“论资排辈”，推行分层分类人才评价体系，树立以创新能力、质量、实效、贡献为主的评价导向，充分调动各类人才积极性。优化人才价值实现路径，鼓励提升用人主体在人才评价、激励机制、职称评聘等事项改革的自主权，探索利润分享型、股权授予型等多元化分配方式，鼓励有条件的企业设立“人才年金”等长期激励计划，增强对核心骨干人才的吸引力和保留力。不断完善知识产权保护，强化科技成果转化保障，充分激发人才创新活力。</w:t>
      </w:r>
    </w:p>
    <w:p w14:paraId="646FB52B">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2.强化平台支撑，构筑人才集聚核心载体</w:t>
      </w:r>
    </w:p>
    <w:p w14:paraId="1B6C96C9">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大力培育创新创业平台。紧扣海陵工业园区、海陵高新区发展布局，高效运营科创中心、科创社区，推动更多重大创新创业平台向园区布局，实现“一园区一核心平台”。优化平台运营机制，强化资金、技术、场地等要素保障。鼓励孵化载体引入社会资本，探索建设一批以人工智能OPC社区为代表的、基础设施完备、创新要素集聚、产业特色鲜明、创业氛围浓厚的创新型产业社区，完善“众创空间—孵化器—加速器—特色专业创新园区”全链式孵化体系。</w:t>
      </w:r>
    </w:p>
    <w:p w14:paraId="16BF50C9">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大力培育产学研融合平台。深化与西安交通大学、电子科技大学等国内外高校院所的合作，统筹推进学会工作站、高校引才工作站、海外人才联络站和技术成果转移中心等平台建设，有力贯通人才、项目、信息与资源的循环通道。充分发挥企业创新决策、研发投入、科研组织、成果转化的主体作用，支持龙头企业与高校共建创新平台，探索“企业出题、平台答题、协同解题”的平台建设模式，建立“科学家+企业家+工程师”共同参与关键核心技术联合攻关机制。支持</w:t>
      </w:r>
      <w:r>
        <w:rPr>
          <w:rFonts w:hint="default" w:ascii="Times New Roman" w:hAnsi="Times New Roman" w:eastAsia="方正仿宋_GBK" w:cs="Times New Roman"/>
          <w:b w:val="0"/>
          <w:bCs w:val="0"/>
          <w:kern w:val="2"/>
          <w:sz w:val="32"/>
          <w:szCs w:val="32"/>
          <w:highlight w:val="none"/>
          <w:u w:val="none"/>
          <w:lang w:val="en-US" w:eastAsia="zh-CN" w:bidi="ar-SA"/>
        </w:rPr>
        <w:t>集萃表面工程技术研究所</w:t>
      </w:r>
      <w:r>
        <w:rPr>
          <w:rFonts w:hint="default" w:ascii="Times New Roman" w:hAnsi="Times New Roman" w:eastAsia="方正仿宋_GBK" w:cs="Times New Roman"/>
          <w:szCs w:val="32"/>
          <w:highlight w:val="none"/>
          <w:u w:val="none"/>
          <w:lang w:val="en-US" w:eastAsia="zh-CN"/>
        </w:rPr>
        <w:t>等共性技术平台建设，鼓励高校、科研院所向企业开放科研基础设施、科研仪器、数据资源等，降低企业创新成本。</w:t>
      </w:r>
    </w:p>
    <w:p w14:paraId="43D772F0">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大力培育区域发展平台。充分发挥青年和人才一站式服务中心长三角人才驿站和海纳人才科创集团长三角人才一体化发展人才合伙人作用，吸引长三角地区各类优秀人才。主动融入沿沪宁产业创新带，更好发挥上海、南京等离岸创新中心“双招双引”前沿阵地作用。借力上海国际科技创新中心、苏南国家自主创新示范区等区域创新资源，积极承接外溢人才、项目、资金，探索跨区域联合攻关、重大平台共建共享等协同机制。</w:t>
      </w:r>
    </w:p>
    <w:p w14:paraId="7BD87448">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大力培育新兴产业平台。紧跟新一轮科技革命和产业革命方向，结合未来产业新增长点，做好前瞻平台搭建。依托泰州网络信息安全产业园与龙头企业数字安全能力，打造信息产业核心区，汇集一批数字人才，抢占数字经济新赛道。面向集成电路、智能装备、新能源、新材料、低空经济等产业快速发展和“人工智能+”场景应用需求，鼓励龙头企业布局建设产业研究院和中试基地，加快引育一批新兴产业技术人才。</w:t>
      </w:r>
    </w:p>
    <w:p w14:paraId="4BBC4797">
      <w:pPr>
        <w:keepNext w:val="0"/>
        <w:keepLines w:val="0"/>
        <w:pageBreakBefore w:val="0"/>
        <w:widowControl w:val="0"/>
        <w:numPr>
          <w:ilvl w:val="0"/>
          <w:numId w:val="0"/>
        </w:numPr>
        <w:kinsoku/>
        <w:wordWrap/>
        <w:overflowPunct/>
        <w:topLinePunct w:val="0"/>
        <w:autoSpaceDE w:val="0"/>
        <w:autoSpaceDN w:val="0"/>
        <w:bidi w:val="0"/>
        <w:adjustRightInd/>
        <w:snapToGrid/>
        <w:spacing w:line="594" w:lineRule="exact"/>
        <w:ind w:firstLine="643" w:firstLineChars="200"/>
        <w:jc w:val="both"/>
        <w:textAlignment w:val="auto"/>
        <w:rPr>
          <w:rFonts w:hint="default" w:ascii="Times New Roman" w:hAnsi="Times New Roman" w:eastAsia="方正仿宋_GBK" w:cs="Times New Roman"/>
          <w:b/>
          <w:bCs/>
          <w:strike w:val="0"/>
          <w:dstrike w:val="0"/>
          <w:szCs w:val="32"/>
          <w:highlight w:val="none"/>
          <w:u w:val="none"/>
          <w:lang w:val="en-US" w:eastAsia="zh-CN"/>
        </w:rPr>
      </w:pPr>
      <w:r>
        <w:rPr>
          <w:rFonts w:hint="default" w:ascii="Times New Roman" w:hAnsi="Times New Roman" w:eastAsia="方正仿宋_GBK" w:cs="Times New Roman"/>
          <w:b/>
          <w:bCs/>
          <w:szCs w:val="32"/>
          <w:highlight w:val="none"/>
          <w:u w:val="none"/>
          <w:lang w:val="en-US" w:eastAsia="zh-CN"/>
        </w:rPr>
        <w:t>3.</w:t>
      </w:r>
      <w:r>
        <w:rPr>
          <w:rFonts w:hint="default" w:ascii="Times New Roman" w:hAnsi="Times New Roman" w:eastAsia="方正仿宋_GBK" w:cs="Times New Roman"/>
          <w:b/>
          <w:bCs/>
          <w:strike w:val="0"/>
          <w:dstrike w:val="0"/>
          <w:szCs w:val="32"/>
          <w:highlight w:val="none"/>
          <w:u w:val="none"/>
          <w:lang w:val="en-US" w:eastAsia="zh-CN"/>
        </w:rPr>
        <w:t>夯实服务保障，营造人才宜居宜业生态</w:t>
      </w:r>
    </w:p>
    <w:p w14:paraId="0441B214">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完善“省心式”人才政务服务。推动区政务服务人才</w:t>
      </w:r>
      <w:r>
        <w:rPr>
          <w:rFonts w:hint="eastAsia" w:ascii="Times New Roman" w:hAnsi="Times New Roman" w:eastAsia="方正仿宋_GBK" w:cs="Times New Roman"/>
          <w:szCs w:val="32"/>
          <w:highlight w:val="none"/>
          <w:u w:val="none"/>
          <w:lang w:val="en-US" w:eastAsia="zh-CN"/>
        </w:rPr>
        <w:t>窗口</w:t>
      </w:r>
      <w:r>
        <w:rPr>
          <w:rFonts w:hint="default" w:ascii="Times New Roman" w:hAnsi="Times New Roman" w:eastAsia="方正仿宋_GBK" w:cs="Times New Roman"/>
          <w:szCs w:val="32"/>
          <w:highlight w:val="none"/>
          <w:u w:val="none"/>
          <w:lang w:val="en-US" w:eastAsia="zh-CN"/>
        </w:rPr>
        <w:t>建设，以青年和人才一站式服务中心和</w:t>
      </w:r>
      <w:r>
        <w:rPr>
          <w:rFonts w:hint="eastAsia" w:ascii="Times New Roman" w:hAnsi="Times New Roman" w:eastAsia="方正仿宋_GBK" w:cs="Times New Roman"/>
          <w:szCs w:val="32"/>
          <w:highlight w:val="none"/>
          <w:u w:val="none"/>
          <w:lang w:val="en-US" w:eastAsia="zh-CN"/>
        </w:rPr>
        <w:t>窗口</w:t>
      </w:r>
      <w:r>
        <w:rPr>
          <w:rFonts w:hint="default" w:ascii="Times New Roman" w:hAnsi="Times New Roman" w:eastAsia="方正仿宋_GBK" w:cs="Times New Roman"/>
          <w:szCs w:val="32"/>
          <w:highlight w:val="none"/>
          <w:u w:val="none"/>
          <w:lang w:val="en-US" w:eastAsia="zh-CN"/>
        </w:rPr>
        <w:t>为主，各重点园区创新创业服务综合体为辅，完善政务服务软硬件设施，着力精简办事流程、提高办事效率。加快人才服务数字化建设，着力实现人才政策“一键申领”、人才项目“一网通办”、人才服务“一码可享”，为人才提供更便捷、更优质的政务服务。</w:t>
      </w:r>
    </w:p>
    <w:p w14:paraId="525ECBC4">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健全“多元化”人才金融服务。整合分散在各部门的人才相关资金，打破管理壁垒，由海纳人才科创集团协同专业化机构进行市场化运作，通过项目直投、阶段跟投、投贷联动等多种方式，集中资源投向发展前景广阔、技术优势突出、团队运营可靠的高层次人才（团队）项目。鼓励银行迭代“海科贷”“海科担”等融资担保产品，鼓励风险投资、私募股权基金向人才创业项目倾斜，支持金融机构开发知识产权质押融资、预期收益质押、科技融资租赁等融资方式。探索建立人才创业投资风险补偿机制。</w:t>
      </w:r>
    </w:p>
    <w:p w14:paraId="2F245269">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优化“全维度”人才安居服务。加强青才驿站、人才公寓、人才社区建设，推动数量、质量双提升，探索构建“驿站—公寓—社区”安居体系。设计推出行政公寓、白领公寓、家庭公寓、蓝领公寓等不同产品，在标准化建设的基础上实现产品定制，尽可能满足不同人群的需求。多渠道拓宽房源供给，鼓励社会力量参与人才社区建设，将优质市场化租赁房纳入安居房源库。探索搭建人才公寓信息化管理平台，整合全区房源信息资源，优化申请受理、审核审批全流程，着力压缩安居服务“等待周期”，让人才安居更高效、更省心。</w:t>
      </w:r>
    </w:p>
    <w:p w14:paraId="5028AA16">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打造“定制化”人才管家服务。推行人才专员、预约服务、上门服务三位一体工作模式，为高层次人才提供精准、精细、精致的“一对一”服务，在政策兑付、专利申请、项目申报等环节提供帮办代办服务，降低人才在非核心事务上的精力投入。整合区域优质医疗资源，优化人才医疗服务体系，为高层次人才提供导医咨询、专家预约、高端医疗、健康管理等多层次、个性化医疗健康服务，探索逐步拓展市场化健康服务供给渠道，构建覆盖全场景、全周期的人才健康保障网络，全方位守护人才身心健康。</w:t>
      </w:r>
    </w:p>
    <w:p w14:paraId="3A6390D1">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szCs w:val="32"/>
          <w:highlight w:val="none"/>
          <w:u w:val="none"/>
          <w:lang w:val="en-US" w:eastAsia="zh-CN"/>
        </w:rPr>
      </w:pPr>
      <w:r>
        <w:rPr>
          <w:rFonts w:hint="default" w:ascii="Times New Roman" w:hAnsi="Times New Roman" w:eastAsia="方正仿宋_GBK" w:cs="Times New Roman"/>
          <w:szCs w:val="32"/>
          <w:highlight w:val="none"/>
          <w:u w:val="none"/>
          <w:lang w:val="en-US" w:eastAsia="zh-CN"/>
        </w:rPr>
        <w:t>布局“立体式”人才休闲服务。以人才集聚区域为核心，完善“15分钟生活服务圈”，整合园区、社区、商圈资源，形成“核心休闲枢纽—特色休闲节点—普惠休闲空间”的三级布局。围绕高端人才品质化、个性化消费需求与青年群体潮流化、体验化消费偏好，以“四首经济”（首店、首牌、首秀、首发）</w:t>
      </w:r>
      <w:r>
        <w:rPr>
          <w:rFonts w:hint="eastAsia" w:ascii="Times New Roman" w:hAnsi="Times New Roman" w:eastAsia="方正仿宋_GBK" w:cs="Times New Roman"/>
          <w:szCs w:val="32"/>
          <w:highlight w:val="none"/>
          <w:u w:val="none"/>
          <w:lang w:val="en-US" w:eastAsia="zh-CN"/>
        </w:rPr>
        <w:t>为抓手全面</w:t>
      </w:r>
      <w:r>
        <w:rPr>
          <w:rFonts w:hint="default" w:ascii="Times New Roman" w:hAnsi="Times New Roman" w:eastAsia="方正仿宋_GBK" w:cs="Times New Roman"/>
          <w:szCs w:val="32"/>
          <w:highlight w:val="none"/>
          <w:u w:val="none"/>
          <w:lang w:val="en-US" w:eastAsia="zh-CN"/>
        </w:rPr>
        <w:t>升级区域消费场景。依托历史文化街区，持续上新青年和人才友好型街区，打造青年人才打卡新地标。</w:t>
      </w:r>
    </w:p>
    <w:p w14:paraId="15C1B30C">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黑体_GBK" w:cs="Times New Roman"/>
          <w:szCs w:val="32"/>
          <w:highlight w:val="none"/>
          <w:u w:val="none"/>
        </w:rPr>
      </w:pPr>
      <w:r>
        <w:rPr>
          <w:rFonts w:hint="default" w:ascii="Times New Roman" w:hAnsi="Times New Roman" w:eastAsia="方正黑体_GBK" w:cs="Times New Roman"/>
          <w:szCs w:val="32"/>
          <w:highlight w:val="none"/>
          <w:u w:val="none"/>
          <w:lang w:val="en-US" w:eastAsia="zh-CN"/>
        </w:rPr>
        <w:t>四</w:t>
      </w:r>
      <w:r>
        <w:rPr>
          <w:rFonts w:hint="default" w:ascii="Times New Roman" w:hAnsi="Times New Roman" w:eastAsia="方正黑体_GBK" w:cs="Times New Roman"/>
          <w:szCs w:val="32"/>
          <w:highlight w:val="none"/>
          <w:u w:val="none"/>
        </w:rPr>
        <w:t>、规划实施保障</w:t>
      </w:r>
    </w:p>
    <w:p w14:paraId="33C5EB8B">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rPr>
      </w:pPr>
      <w:r>
        <w:rPr>
          <w:rFonts w:hint="default" w:ascii="Times New Roman" w:hAnsi="Times New Roman" w:eastAsia="方正楷体_GBK" w:cs="Times New Roman"/>
          <w:szCs w:val="32"/>
          <w:highlight w:val="none"/>
          <w:u w:val="none"/>
        </w:rPr>
        <w:t>（一）加强组织领导</w:t>
      </w:r>
    </w:p>
    <w:p w14:paraId="6C3975C1">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rPr>
      </w:pPr>
      <w:r>
        <w:rPr>
          <w:rFonts w:hint="default" w:ascii="Times New Roman" w:hAnsi="Times New Roman" w:eastAsia="方正仿宋_GBK" w:cs="Times New Roman"/>
          <w:szCs w:val="32"/>
          <w:highlight w:val="none"/>
          <w:u w:val="none"/>
          <w:lang w:val="en-US" w:eastAsia="zh-CN"/>
        </w:rPr>
        <w:t>充分发挥区人才工作领导小组对全区人才工作的牵头抓总和议事决策作用，加强各成员单位之间的业务横向合作，进一步扩大海纳人才科创集团在资源整合、市场链接等方面的优势，健全完善党委统一领导，组织部门牵头抓总，有关部门各司其职、密切配合，社会力量广泛参与的人才工作格局</w:t>
      </w:r>
      <w:r>
        <w:rPr>
          <w:rFonts w:hint="default" w:ascii="Times New Roman" w:hAnsi="Times New Roman" w:eastAsia="方正仿宋_GBK" w:cs="Times New Roman"/>
          <w:szCs w:val="32"/>
          <w:highlight w:val="none"/>
          <w:u w:val="none"/>
        </w:rPr>
        <w:t>。</w:t>
      </w:r>
    </w:p>
    <w:p w14:paraId="7D3716A1">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eastAsia="zh-CN"/>
        </w:rPr>
      </w:pPr>
      <w:r>
        <w:rPr>
          <w:rFonts w:hint="default" w:ascii="Times New Roman" w:hAnsi="Times New Roman" w:eastAsia="方正楷体_GBK" w:cs="Times New Roman"/>
          <w:szCs w:val="32"/>
          <w:highlight w:val="none"/>
          <w:u w:val="none"/>
        </w:rPr>
        <w:t>（二）</w:t>
      </w:r>
      <w:r>
        <w:rPr>
          <w:rFonts w:hint="default" w:ascii="Times New Roman" w:hAnsi="Times New Roman" w:eastAsia="方正楷体_GBK" w:cs="Times New Roman"/>
          <w:szCs w:val="32"/>
          <w:highlight w:val="none"/>
          <w:u w:val="none"/>
          <w:lang w:val="en-US" w:eastAsia="zh-CN"/>
        </w:rPr>
        <w:t>加大投入保障</w:t>
      </w:r>
    </w:p>
    <w:p w14:paraId="01C6E650">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eastAsia="zh-CN"/>
        </w:rPr>
      </w:pPr>
      <w:r>
        <w:rPr>
          <w:rFonts w:hint="default" w:ascii="Times New Roman" w:hAnsi="Times New Roman" w:eastAsia="方正仿宋_GBK" w:cs="Times New Roman"/>
          <w:szCs w:val="32"/>
          <w:highlight w:val="none"/>
          <w:u w:val="none"/>
          <w:lang w:val="en-US" w:eastAsia="zh-CN"/>
        </w:rPr>
        <w:t>切实提高人才工作经费保障优先级，</w:t>
      </w:r>
      <w:r>
        <w:rPr>
          <w:rFonts w:hint="default" w:ascii="Times New Roman" w:hAnsi="Times New Roman" w:eastAsia="方正仿宋_GBK" w:cs="Times New Roman"/>
          <w:b w:val="0"/>
          <w:bCs w:val="0"/>
          <w:strike w:val="0"/>
          <w:dstrike w:val="0"/>
          <w:szCs w:val="32"/>
          <w:highlight w:val="none"/>
          <w:u w:val="none"/>
          <w:lang w:val="en-US" w:eastAsia="zh-CN"/>
        </w:rPr>
        <w:t>强化预算保障与绩效</w:t>
      </w:r>
      <w:r>
        <w:rPr>
          <w:rFonts w:hint="default" w:ascii="Times New Roman" w:hAnsi="Times New Roman" w:eastAsia="方正仿宋_GBK" w:cs="Times New Roman"/>
          <w:b w:val="0"/>
          <w:bCs w:val="0"/>
          <w:szCs w:val="32"/>
          <w:highlight w:val="none"/>
          <w:u w:val="none"/>
          <w:lang w:val="en-US" w:eastAsia="zh-CN"/>
        </w:rPr>
        <w:t>管理，确保人才投入规模与区域经济社会发展战略需求同步提升，为人才事业发展提供稳定、可持续的财力支撑。</w:t>
      </w:r>
    </w:p>
    <w:p w14:paraId="78FAF186">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楷体_GBK" w:cs="Times New Roman"/>
          <w:szCs w:val="32"/>
          <w:highlight w:val="none"/>
          <w:u w:val="none"/>
          <w:lang w:val="en-US"/>
        </w:rPr>
      </w:pPr>
      <w:r>
        <w:rPr>
          <w:rFonts w:hint="default" w:ascii="Times New Roman" w:hAnsi="Times New Roman" w:eastAsia="方正楷体_GBK" w:cs="Times New Roman"/>
          <w:szCs w:val="32"/>
          <w:highlight w:val="none"/>
          <w:u w:val="none"/>
          <w:lang w:eastAsia="zh-CN"/>
        </w:rPr>
        <w:t>（</w:t>
      </w:r>
      <w:r>
        <w:rPr>
          <w:rFonts w:hint="default" w:ascii="Times New Roman" w:hAnsi="Times New Roman" w:eastAsia="方正楷体_GBK" w:cs="Times New Roman"/>
          <w:szCs w:val="32"/>
          <w:highlight w:val="none"/>
          <w:u w:val="none"/>
          <w:lang w:val="en-US" w:eastAsia="zh-CN"/>
        </w:rPr>
        <w:t>三</w:t>
      </w:r>
      <w:r>
        <w:rPr>
          <w:rFonts w:hint="default" w:ascii="Times New Roman" w:hAnsi="Times New Roman" w:eastAsia="方正楷体_GBK" w:cs="Times New Roman"/>
          <w:szCs w:val="32"/>
          <w:highlight w:val="none"/>
          <w:u w:val="none"/>
          <w:lang w:eastAsia="zh-CN"/>
        </w:rPr>
        <w:t>）</w:t>
      </w:r>
      <w:r>
        <w:rPr>
          <w:rFonts w:hint="default" w:ascii="Times New Roman" w:hAnsi="Times New Roman" w:eastAsia="方正楷体_GBK" w:cs="Times New Roman"/>
          <w:szCs w:val="32"/>
          <w:highlight w:val="none"/>
          <w:u w:val="none"/>
        </w:rPr>
        <w:t>强化</w:t>
      </w:r>
      <w:r>
        <w:rPr>
          <w:rFonts w:hint="default" w:ascii="Times New Roman" w:hAnsi="Times New Roman" w:eastAsia="方正楷体_GBK" w:cs="Times New Roman"/>
          <w:szCs w:val="32"/>
          <w:highlight w:val="none"/>
          <w:u w:val="none"/>
          <w:lang w:val="en-US" w:eastAsia="zh-CN"/>
        </w:rPr>
        <w:t>监测评估</w:t>
      </w:r>
    </w:p>
    <w:p w14:paraId="525A1721">
      <w:pPr>
        <w:keepNext w:val="0"/>
        <w:keepLines w:val="0"/>
        <w:pageBreakBefore w:val="0"/>
        <w:widowControl w:val="0"/>
        <w:kinsoku/>
        <w:wordWrap/>
        <w:overflowPunct/>
        <w:topLinePunct w:val="0"/>
        <w:autoSpaceDE w:val="0"/>
        <w:autoSpaceDN w:val="0"/>
        <w:bidi w:val="0"/>
        <w:adjustRightInd/>
        <w:snapToGrid/>
        <w:spacing w:line="594" w:lineRule="exact"/>
        <w:ind w:firstLine="640" w:firstLineChars="200"/>
        <w:jc w:val="both"/>
        <w:textAlignment w:val="auto"/>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szCs w:val="32"/>
          <w:highlight w:val="none"/>
          <w:u w:val="none"/>
          <w:lang w:val="en-US" w:eastAsia="zh-CN"/>
        </w:rPr>
        <w:t>坚持规划引领</w:t>
      </w:r>
      <w:r>
        <w:rPr>
          <w:rFonts w:hint="default" w:ascii="Times New Roman" w:hAnsi="Times New Roman" w:eastAsia="方正仿宋_GBK" w:cs="Times New Roman"/>
          <w:szCs w:val="32"/>
          <w:highlight w:val="none"/>
          <w:u w:val="none"/>
        </w:rPr>
        <w:t>，</w:t>
      </w:r>
      <w:r>
        <w:rPr>
          <w:rFonts w:hint="default" w:ascii="Times New Roman" w:hAnsi="Times New Roman" w:eastAsia="方正仿宋_GBK" w:cs="Times New Roman"/>
          <w:szCs w:val="32"/>
          <w:highlight w:val="none"/>
          <w:u w:val="none"/>
          <w:lang w:val="en-US" w:eastAsia="zh-CN"/>
        </w:rPr>
        <w:t>将人才发展主要指标纳入全区综合考核体系，科学制定年度目标和考核细则。</w:t>
      </w:r>
      <w:r>
        <w:rPr>
          <w:rFonts w:hint="default" w:ascii="Times New Roman" w:hAnsi="Times New Roman" w:eastAsia="方正仿宋_GBK" w:cs="Times New Roman"/>
          <w:szCs w:val="32"/>
          <w:highlight w:val="none"/>
          <w:u w:val="none"/>
        </w:rPr>
        <w:t>建立</w:t>
      </w:r>
      <w:r>
        <w:rPr>
          <w:rFonts w:hint="default" w:ascii="Times New Roman" w:hAnsi="Times New Roman" w:eastAsia="方正仿宋_GBK" w:cs="Times New Roman"/>
          <w:szCs w:val="32"/>
          <w:highlight w:val="none"/>
          <w:u w:val="none"/>
          <w:lang w:val="en-US" w:eastAsia="zh-CN"/>
        </w:rPr>
        <w:t>健全</w:t>
      </w:r>
      <w:r>
        <w:rPr>
          <w:rFonts w:hint="default" w:ascii="Times New Roman" w:hAnsi="Times New Roman" w:eastAsia="方正仿宋_GBK" w:cs="Times New Roman"/>
          <w:szCs w:val="32"/>
          <w:highlight w:val="none"/>
          <w:u w:val="none"/>
        </w:rPr>
        <w:t>规划实施情况</w:t>
      </w:r>
      <w:r>
        <w:rPr>
          <w:rFonts w:hint="default" w:ascii="Times New Roman" w:hAnsi="Times New Roman" w:eastAsia="方正仿宋_GBK" w:cs="Times New Roman"/>
          <w:szCs w:val="32"/>
          <w:highlight w:val="none"/>
          <w:u w:val="none"/>
          <w:lang w:val="en-US" w:eastAsia="zh-CN"/>
        </w:rPr>
        <w:t>监测</w:t>
      </w:r>
      <w:r>
        <w:rPr>
          <w:rFonts w:hint="default" w:ascii="Times New Roman" w:hAnsi="Times New Roman" w:eastAsia="方正仿宋_GBK" w:cs="Times New Roman"/>
          <w:szCs w:val="32"/>
          <w:highlight w:val="none"/>
          <w:u w:val="none"/>
        </w:rPr>
        <w:t>评估机制，</w:t>
      </w:r>
      <w:r>
        <w:rPr>
          <w:rFonts w:hint="default" w:ascii="Times New Roman" w:hAnsi="Times New Roman" w:eastAsia="方正仿宋_GBK" w:cs="Times New Roman"/>
          <w:szCs w:val="32"/>
          <w:highlight w:val="none"/>
          <w:u w:val="none"/>
          <w:lang w:val="en-US" w:eastAsia="zh-CN"/>
        </w:rPr>
        <w:t>适时开展中期和年度评估，对规划重要任务、重大项目的落地实施</w:t>
      </w:r>
      <w:r>
        <w:rPr>
          <w:rFonts w:hint="default" w:ascii="Times New Roman" w:hAnsi="Times New Roman" w:eastAsia="方正仿宋_GBK" w:cs="Times New Roman"/>
          <w:szCs w:val="32"/>
          <w:highlight w:val="none"/>
          <w:u w:val="none"/>
        </w:rPr>
        <w:t>开展跟踪分析，研究解决规划实施过程中出现的新情况、新问题，</w:t>
      </w:r>
      <w:r>
        <w:rPr>
          <w:rFonts w:hint="default" w:ascii="Times New Roman" w:hAnsi="Times New Roman" w:eastAsia="方正仿宋_GBK" w:cs="Times New Roman"/>
          <w:szCs w:val="32"/>
          <w:highlight w:val="none"/>
          <w:u w:val="none"/>
          <w:lang w:val="en-US" w:eastAsia="zh-CN"/>
        </w:rPr>
        <w:t>确保规划有序实施、目标顺利实现</w:t>
      </w:r>
      <w:r>
        <w:rPr>
          <w:rFonts w:hint="default" w:ascii="Times New Roman" w:hAnsi="Times New Roman" w:eastAsia="方正仿宋_GBK" w:cs="Times New Roman"/>
          <w:szCs w:val="32"/>
          <w:highlight w:val="none"/>
          <w:u w:val="none"/>
        </w:rPr>
        <w:t>。</w:t>
      </w:r>
    </w:p>
    <w:sectPr>
      <w:headerReference r:id="rId3" w:type="default"/>
      <w:footerReference r:id="rId5" w:type="default"/>
      <w:headerReference r:id="rId4" w:type="even"/>
      <w:footerReference r:id="rId6" w:type="even"/>
      <w:pgSz w:w="11906" w:h="16838"/>
      <w:pgMar w:top="1701" w:right="1474" w:bottom="1474" w:left="1587" w:header="851" w:footer="1304" w:gutter="0"/>
      <w:pgNumType w:fmt="decimal"/>
      <w:cols w:space="720" w:num="1"/>
      <w:docGrid w:type="lines" w:linePitch="579" w:charSpace="-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ACBBA">
    <w:pPr>
      <w:pStyle w:val="6"/>
      <w:wordWrap w:val="0"/>
      <w:ind w:firstLine="480"/>
      <w:jc w:val="right"/>
      <w:rPr>
        <w:rFonts w:ascii="仿宋" w:hAnsi="仿宋" w:eastAsia="仿宋"/>
        <w:sz w:val="24"/>
        <w:szCs w:val="24"/>
        <w:lang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A8537">
                          <w:pPr>
                            <w:pStyle w:val="6"/>
                            <w:wordWrap w:val="0"/>
                            <w:jc w:val="both"/>
                            <w:rPr>
                              <w:rFonts w:hint="default" w:ascii="Times New Roman" w:hAnsi="Times New Roman" w:cs="Times New Roman"/>
                              <w:sz w:val="28"/>
                              <w:szCs w:val="28"/>
                            </w:rPr>
                          </w:pPr>
                          <w:r>
                            <w:rPr>
                              <w:rStyle w:val="13"/>
                              <w:rFonts w:hint="default" w:ascii="Times New Roman" w:hAnsi="Times New Roman" w:eastAsia="方正仿宋_GBK" w:cs="Times New Roman"/>
                              <w:sz w:val="28"/>
                              <w:szCs w:val="28"/>
                            </w:rPr>
                            <w:t xml:space="preserve">— </w:t>
                          </w:r>
                          <w:r>
                            <w:rPr>
                              <w:rStyle w:val="13"/>
                              <w:rFonts w:hint="default" w:ascii="Times New Roman" w:hAnsi="Times New Roman" w:eastAsia="方正仿宋_GBK" w:cs="Times New Roman"/>
                              <w:sz w:val="28"/>
                              <w:szCs w:val="28"/>
                            </w:rPr>
                            <w:fldChar w:fldCharType="begin"/>
                          </w:r>
                          <w:r>
                            <w:rPr>
                              <w:rStyle w:val="13"/>
                              <w:rFonts w:hint="default" w:ascii="Times New Roman" w:hAnsi="Times New Roman" w:eastAsia="方正仿宋_GBK" w:cs="Times New Roman"/>
                              <w:sz w:val="28"/>
                              <w:szCs w:val="28"/>
                            </w:rPr>
                            <w:instrText xml:space="preserve">PAGE  </w:instrText>
                          </w:r>
                          <w:r>
                            <w:rPr>
                              <w:rStyle w:val="13"/>
                              <w:rFonts w:hint="default" w:ascii="Times New Roman" w:hAnsi="Times New Roman" w:eastAsia="方正仿宋_GBK" w:cs="Times New Roman"/>
                              <w:sz w:val="28"/>
                              <w:szCs w:val="28"/>
                            </w:rPr>
                            <w:fldChar w:fldCharType="separate"/>
                          </w:r>
                          <w:r>
                            <w:rPr>
                              <w:rStyle w:val="13"/>
                              <w:rFonts w:hint="default" w:ascii="Times New Roman" w:hAnsi="Times New Roman" w:eastAsia="方正仿宋_GBK" w:cs="Times New Roman"/>
                              <w:sz w:val="28"/>
                              <w:szCs w:val="28"/>
                            </w:rPr>
                            <w:t>17</w:t>
                          </w:r>
                          <w:r>
                            <w:rPr>
                              <w:rStyle w:val="13"/>
                              <w:rFonts w:hint="default" w:ascii="Times New Roman" w:hAnsi="Times New Roman" w:eastAsia="方正仿宋_GBK" w:cs="Times New Roman"/>
                              <w:sz w:val="28"/>
                              <w:szCs w:val="28"/>
                            </w:rPr>
                            <w:fldChar w:fldCharType="end"/>
                          </w:r>
                          <w:r>
                            <w:rPr>
                              <w:rStyle w:val="13"/>
                              <w:rFonts w:hint="default" w:ascii="Times New Roman" w:hAnsi="Times New Roman" w:eastAsia="方正仿宋_GBK" w:cs="Times New Roman"/>
                              <w:sz w:val="28"/>
                              <w:szCs w:val="28"/>
                            </w:rPr>
                            <w:t xml:space="preserve"> —</w:t>
                          </w:r>
                          <w:r>
                            <w:rPr>
                              <w:rStyle w:val="13"/>
                              <w:rFonts w:hint="default" w:ascii="Times New Roman" w:hAnsi="Times New Roman" w:eastAsia="方正仿宋_GBK"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2A8537">
                    <w:pPr>
                      <w:pStyle w:val="6"/>
                      <w:wordWrap w:val="0"/>
                      <w:jc w:val="both"/>
                      <w:rPr>
                        <w:rFonts w:hint="default" w:ascii="Times New Roman" w:hAnsi="Times New Roman" w:cs="Times New Roman"/>
                        <w:sz w:val="28"/>
                        <w:szCs w:val="28"/>
                      </w:rPr>
                    </w:pPr>
                    <w:r>
                      <w:rPr>
                        <w:rStyle w:val="13"/>
                        <w:rFonts w:hint="default" w:ascii="Times New Roman" w:hAnsi="Times New Roman" w:eastAsia="方正仿宋_GBK" w:cs="Times New Roman"/>
                        <w:sz w:val="28"/>
                        <w:szCs w:val="28"/>
                      </w:rPr>
                      <w:t xml:space="preserve">— </w:t>
                    </w:r>
                    <w:r>
                      <w:rPr>
                        <w:rStyle w:val="13"/>
                        <w:rFonts w:hint="default" w:ascii="Times New Roman" w:hAnsi="Times New Roman" w:eastAsia="方正仿宋_GBK" w:cs="Times New Roman"/>
                        <w:sz w:val="28"/>
                        <w:szCs w:val="28"/>
                      </w:rPr>
                      <w:fldChar w:fldCharType="begin"/>
                    </w:r>
                    <w:r>
                      <w:rPr>
                        <w:rStyle w:val="13"/>
                        <w:rFonts w:hint="default" w:ascii="Times New Roman" w:hAnsi="Times New Roman" w:eastAsia="方正仿宋_GBK" w:cs="Times New Roman"/>
                        <w:sz w:val="28"/>
                        <w:szCs w:val="28"/>
                      </w:rPr>
                      <w:instrText xml:space="preserve">PAGE  </w:instrText>
                    </w:r>
                    <w:r>
                      <w:rPr>
                        <w:rStyle w:val="13"/>
                        <w:rFonts w:hint="default" w:ascii="Times New Roman" w:hAnsi="Times New Roman" w:eastAsia="方正仿宋_GBK" w:cs="Times New Roman"/>
                        <w:sz w:val="28"/>
                        <w:szCs w:val="28"/>
                      </w:rPr>
                      <w:fldChar w:fldCharType="separate"/>
                    </w:r>
                    <w:r>
                      <w:rPr>
                        <w:rStyle w:val="13"/>
                        <w:rFonts w:hint="default" w:ascii="Times New Roman" w:hAnsi="Times New Roman" w:eastAsia="方正仿宋_GBK" w:cs="Times New Roman"/>
                        <w:sz w:val="28"/>
                        <w:szCs w:val="28"/>
                      </w:rPr>
                      <w:t>17</w:t>
                    </w:r>
                    <w:r>
                      <w:rPr>
                        <w:rStyle w:val="13"/>
                        <w:rFonts w:hint="default" w:ascii="Times New Roman" w:hAnsi="Times New Roman" w:eastAsia="方正仿宋_GBK" w:cs="Times New Roman"/>
                        <w:sz w:val="28"/>
                        <w:szCs w:val="28"/>
                      </w:rPr>
                      <w:fldChar w:fldCharType="end"/>
                    </w:r>
                    <w:r>
                      <w:rPr>
                        <w:rStyle w:val="13"/>
                        <w:rFonts w:hint="default" w:ascii="Times New Roman" w:hAnsi="Times New Roman" w:eastAsia="方正仿宋_GBK" w:cs="Times New Roman"/>
                        <w:sz w:val="28"/>
                        <w:szCs w:val="28"/>
                      </w:rPr>
                      <w:t xml:space="preserve"> —</w:t>
                    </w:r>
                    <w:r>
                      <w:rPr>
                        <w:rStyle w:val="13"/>
                        <w:rFonts w:hint="default" w:ascii="Times New Roman" w:hAnsi="Times New Roman" w:eastAsia="方正仿宋_GBK" w:cs="Times New Roman"/>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2F00B">
    <w:pPr>
      <w:pStyle w:val="6"/>
    </w:pPr>
    <w:r>
      <w:rPr>
        <w:rStyle w:val="13"/>
        <w:rFonts w:hint="eastAsia" w:ascii="方正仿宋_GBK" w:eastAsia="方正仿宋_GBK"/>
        <w:sz w:val="28"/>
        <w:szCs w:val="28"/>
        <w:lang w:eastAsia="zh-CN"/>
      </w:rPr>
      <w:t xml:space="preserve"> </w:t>
    </w:r>
    <w:r>
      <w:rPr>
        <w:rStyle w:val="13"/>
        <w:rFonts w:hint="eastAsia" w:ascii="方正仿宋_GBK" w:eastAsia="方正仿宋_GBK"/>
        <w:sz w:val="28"/>
        <w:szCs w:val="28"/>
      </w:rPr>
      <w:t xml:space="preserve">— </w:t>
    </w:r>
    <w:r>
      <w:rPr>
        <w:rStyle w:val="13"/>
        <w:rFonts w:hint="eastAsia" w:ascii="方正仿宋_GBK" w:eastAsia="方正仿宋_GBK"/>
        <w:sz w:val="28"/>
        <w:szCs w:val="28"/>
      </w:rPr>
      <w:fldChar w:fldCharType="begin"/>
    </w:r>
    <w:r>
      <w:rPr>
        <w:rStyle w:val="13"/>
        <w:rFonts w:hint="eastAsia" w:ascii="方正仿宋_GBK" w:eastAsia="方正仿宋_GBK"/>
        <w:sz w:val="28"/>
        <w:szCs w:val="28"/>
      </w:rPr>
      <w:instrText xml:space="preserve">PAGE  </w:instrText>
    </w:r>
    <w:r>
      <w:rPr>
        <w:rStyle w:val="13"/>
        <w:rFonts w:hint="eastAsia" w:ascii="方正仿宋_GBK" w:eastAsia="方正仿宋_GBK"/>
        <w:sz w:val="28"/>
        <w:szCs w:val="28"/>
      </w:rPr>
      <w:fldChar w:fldCharType="separate"/>
    </w:r>
    <w:r>
      <w:rPr>
        <w:rStyle w:val="13"/>
        <w:rFonts w:ascii="方正仿宋_GBK" w:eastAsia="方正仿宋_GBK"/>
        <w:sz w:val="28"/>
        <w:szCs w:val="28"/>
      </w:rPr>
      <w:t>18</w:t>
    </w:r>
    <w:r>
      <w:rPr>
        <w:rStyle w:val="13"/>
        <w:rFonts w:hint="eastAsia" w:ascii="方正仿宋_GBK" w:eastAsia="方正仿宋_GBK"/>
        <w:sz w:val="28"/>
        <w:szCs w:val="28"/>
      </w:rPr>
      <w:fldChar w:fldCharType="end"/>
    </w:r>
    <w:r>
      <w:rPr>
        <w:rStyle w:val="13"/>
        <w:rFonts w:hint="eastAsia" w:ascii="方正仿宋_GBK" w:eastAsia="方正仿宋_GBK"/>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EDAF4">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21359">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32A5A"/>
    <w:rsid w:val="0018274C"/>
    <w:rsid w:val="00285085"/>
    <w:rsid w:val="00443541"/>
    <w:rsid w:val="00501EE6"/>
    <w:rsid w:val="005C4D2E"/>
    <w:rsid w:val="006E4A62"/>
    <w:rsid w:val="00877F19"/>
    <w:rsid w:val="00923857"/>
    <w:rsid w:val="00991ADF"/>
    <w:rsid w:val="00A67D58"/>
    <w:rsid w:val="00D64AE1"/>
    <w:rsid w:val="010A29DC"/>
    <w:rsid w:val="01192C1F"/>
    <w:rsid w:val="012908E0"/>
    <w:rsid w:val="012B64AF"/>
    <w:rsid w:val="012E1F25"/>
    <w:rsid w:val="014B68BB"/>
    <w:rsid w:val="01514167"/>
    <w:rsid w:val="01592DDE"/>
    <w:rsid w:val="015E4AD6"/>
    <w:rsid w:val="017B7436"/>
    <w:rsid w:val="01822573"/>
    <w:rsid w:val="01845F69"/>
    <w:rsid w:val="01B40876"/>
    <w:rsid w:val="01C81F50"/>
    <w:rsid w:val="01D6133E"/>
    <w:rsid w:val="01ED7025"/>
    <w:rsid w:val="01EF3980"/>
    <w:rsid w:val="01FF74DB"/>
    <w:rsid w:val="0200691B"/>
    <w:rsid w:val="020131E3"/>
    <w:rsid w:val="02023253"/>
    <w:rsid w:val="02060F3C"/>
    <w:rsid w:val="02073223"/>
    <w:rsid w:val="02094A42"/>
    <w:rsid w:val="0218200B"/>
    <w:rsid w:val="02353A89"/>
    <w:rsid w:val="02374AF6"/>
    <w:rsid w:val="023A4BFB"/>
    <w:rsid w:val="029B5EAC"/>
    <w:rsid w:val="02A01D68"/>
    <w:rsid w:val="02B26E88"/>
    <w:rsid w:val="02CE17E8"/>
    <w:rsid w:val="02D72D0B"/>
    <w:rsid w:val="032E73A4"/>
    <w:rsid w:val="032F672A"/>
    <w:rsid w:val="033D180E"/>
    <w:rsid w:val="03563CB7"/>
    <w:rsid w:val="035A4CAD"/>
    <w:rsid w:val="035D7B9C"/>
    <w:rsid w:val="037E6D6A"/>
    <w:rsid w:val="037F34E4"/>
    <w:rsid w:val="03A55F1E"/>
    <w:rsid w:val="03CC3F79"/>
    <w:rsid w:val="03E94F3F"/>
    <w:rsid w:val="03EF5EB9"/>
    <w:rsid w:val="04051239"/>
    <w:rsid w:val="0405748B"/>
    <w:rsid w:val="040579FD"/>
    <w:rsid w:val="041B1889"/>
    <w:rsid w:val="04245544"/>
    <w:rsid w:val="042E253E"/>
    <w:rsid w:val="043E77B8"/>
    <w:rsid w:val="043F299D"/>
    <w:rsid w:val="04421E00"/>
    <w:rsid w:val="0449381C"/>
    <w:rsid w:val="04545D1C"/>
    <w:rsid w:val="045A1585"/>
    <w:rsid w:val="047B3072"/>
    <w:rsid w:val="04842AA6"/>
    <w:rsid w:val="04925CD7"/>
    <w:rsid w:val="049D3B67"/>
    <w:rsid w:val="049F168E"/>
    <w:rsid w:val="04A23049"/>
    <w:rsid w:val="04A6496C"/>
    <w:rsid w:val="04A96068"/>
    <w:rsid w:val="04B41DB5"/>
    <w:rsid w:val="05220898"/>
    <w:rsid w:val="052A53FB"/>
    <w:rsid w:val="056F72B2"/>
    <w:rsid w:val="05746512"/>
    <w:rsid w:val="05A351AD"/>
    <w:rsid w:val="05A56ED6"/>
    <w:rsid w:val="05B945AD"/>
    <w:rsid w:val="05DD06BF"/>
    <w:rsid w:val="05E23D78"/>
    <w:rsid w:val="05F31C91"/>
    <w:rsid w:val="05F66597"/>
    <w:rsid w:val="06050623"/>
    <w:rsid w:val="06052A03"/>
    <w:rsid w:val="061A5470"/>
    <w:rsid w:val="06442CEA"/>
    <w:rsid w:val="065D535C"/>
    <w:rsid w:val="066E57BB"/>
    <w:rsid w:val="06734B80"/>
    <w:rsid w:val="067A1E38"/>
    <w:rsid w:val="067A5F0E"/>
    <w:rsid w:val="067B57E2"/>
    <w:rsid w:val="06872F1A"/>
    <w:rsid w:val="0698721F"/>
    <w:rsid w:val="06AD62E4"/>
    <w:rsid w:val="06B55198"/>
    <w:rsid w:val="06C87AD9"/>
    <w:rsid w:val="06D84275"/>
    <w:rsid w:val="06D91152"/>
    <w:rsid w:val="06DD7563"/>
    <w:rsid w:val="07097292"/>
    <w:rsid w:val="070E48A8"/>
    <w:rsid w:val="07630750"/>
    <w:rsid w:val="07866291"/>
    <w:rsid w:val="0790350F"/>
    <w:rsid w:val="07B54D24"/>
    <w:rsid w:val="07B829A7"/>
    <w:rsid w:val="07C82CA9"/>
    <w:rsid w:val="07D40C75"/>
    <w:rsid w:val="07E90D08"/>
    <w:rsid w:val="07F67816"/>
    <w:rsid w:val="080D7681"/>
    <w:rsid w:val="08406CE4"/>
    <w:rsid w:val="084A1910"/>
    <w:rsid w:val="0857023B"/>
    <w:rsid w:val="086A66E5"/>
    <w:rsid w:val="08746AED"/>
    <w:rsid w:val="087B7D1C"/>
    <w:rsid w:val="087D7F38"/>
    <w:rsid w:val="087F0AFA"/>
    <w:rsid w:val="089A4646"/>
    <w:rsid w:val="08BA6A96"/>
    <w:rsid w:val="08DC276C"/>
    <w:rsid w:val="08E323EE"/>
    <w:rsid w:val="08E753B1"/>
    <w:rsid w:val="08FF26FB"/>
    <w:rsid w:val="09185824"/>
    <w:rsid w:val="0953705C"/>
    <w:rsid w:val="09722ECD"/>
    <w:rsid w:val="098B0432"/>
    <w:rsid w:val="09945539"/>
    <w:rsid w:val="09A514F4"/>
    <w:rsid w:val="09AE4A7E"/>
    <w:rsid w:val="09CD3260"/>
    <w:rsid w:val="09F636DA"/>
    <w:rsid w:val="0A0106F5"/>
    <w:rsid w:val="0A232419"/>
    <w:rsid w:val="0A326B00"/>
    <w:rsid w:val="0A32767F"/>
    <w:rsid w:val="0A3960E0"/>
    <w:rsid w:val="0A407EC9"/>
    <w:rsid w:val="0A4C7BC2"/>
    <w:rsid w:val="0A4D56E8"/>
    <w:rsid w:val="0A5E065E"/>
    <w:rsid w:val="0A886AA2"/>
    <w:rsid w:val="0AD61B81"/>
    <w:rsid w:val="0AD96F7B"/>
    <w:rsid w:val="0AF52007"/>
    <w:rsid w:val="0B057D70"/>
    <w:rsid w:val="0B3172A2"/>
    <w:rsid w:val="0B512D8C"/>
    <w:rsid w:val="0B61769D"/>
    <w:rsid w:val="0B7218AA"/>
    <w:rsid w:val="0B7E674B"/>
    <w:rsid w:val="0B864973"/>
    <w:rsid w:val="0B8E5FB8"/>
    <w:rsid w:val="0BCD1E57"/>
    <w:rsid w:val="0BD47E6F"/>
    <w:rsid w:val="0BE1258C"/>
    <w:rsid w:val="0C1939C9"/>
    <w:rsid w:val="0C272694"/>
    <w:rsid w:val="0C405504"/>
    <w:rsid w:val="0C526FE5"/>
    <w:rsid w:val="0C572A71"/>
    <w:rsid w:val="0C60521F"/>
    <w:rsid w:val="0C9F5E99"/>
    <w:rsid w:val="0CA07E39"/>
    <w:rsid w:val="0CB91B78"/>
    <w:rsid w:val="0CCF0636"/>
    <w:rsid w:val="0CEA36C2"/>
    <w:rsid w:val="0CEB1914"/>
    <w:rsid w:val="0CF431DA"/>
    <w:rsid w:val="0CFA2148"/>
    <w:rsid w:val="0CFD1647"/>
    <w:rsid w:val="0D1150F2"/>
    <w:rsid w:val="0D125C0D"/>
    <w:rsid w:val="0D166265"/>
    <w:rsid w:val="0D2D0C67"/>
    <w:rsid w:val="0D667A63"/>
    <w:rsid w:val="0D713D7D"/>
    <w:rsid w:val="0D94170C"/>
    <w:rsid w:val="0DA50975"/>
    <w:rsid w:val="0DBE2B84"/>
    <w:rsid w:val="0DED5218"/>
    <w:rsid w:val="0E1934B6"/>
    <w:rsid w:val="0E492A6F"/>
    <w:rsid w:val="0EA7186A"/>
    <w:rsid w:val="0EC85224"/>
    <w:rsid w:val="0EEC39CA"/>
    <w:rsid w:val="0EF16F8A"/>
    <w:rsid w:val="0F072309"/>
    <w:rsid w:val="0F0A004B"/>
    <w:rsid w:val="0F3025B6"/>
    <w:rsid w:val="0F32159B"/>
    <w:rsid w:val="0F44530B"/>
    <w:rsid w:val="0F5341AC"/>
    <w:rsid w:val="0F566DED"/>
    <w:rsid w:val="0F615EBD"/>
    <w:rsid w:val="0F7C11F6"/>
    <w:rsid w:val="0F9D2C6D"/>
    <w:rsid w:val="0FAE09D7"/>
    <w:rsid w:val="0FD86264"/>
    <w:rsid w:val="0FE110E4"/>
    <w:rsid w:val="0FE95EB3"/>
    <w:rsid w:val="0FEC1CE5"/>
    <w:rsid w:val="10030D22"/>
    <w:rsid w:val="100827DD"/>
    <w:rsid w:val="1036633D"/>
    <w:rsid w:val="106D2640"/>
    <w:rsid w:val="107A26F3"/>
    <w:rsid w:val="109B53FF"/>
    <w:rsid w:val="10B01EC5"/>
    <w:rsid w:val="10C2298C"/>
    <w:rsid w:val="10C96C19"/>
    <w:rsid w:val="10E52962"/>
    <w:rsid w:val="10E660A2"/>
    <w:rsid w:val="10F35F66"/>
    <w:rsid w:val="11036B00"/>
    <w:rsid w:val="110556E2"/>
    <w:rsid w:val="11377138"/>
    <w:rsid w:val="11661336"/>
    <w:rsid w:val="116A4DD1"/>
    <w:rsid w:val="11817EA9"/>
    <w:rsid w:val="118E286E"/>
    <w:rsid w:val="11B61862"/>
    <w:rsid w:val="11BA3C2E"/>
    <w:rsid w:val="11CB1D14"/>
    <w:rsid w:val="11D24E50"/>
    <w:rsid w:val="11ED7390"/>
    <w:rsid w:val="12274A70"/>
    <w:rsid w:val="123E0CE0"/>
    <w:rsid w:val="1244172C"/>
    <w:rsid w:val="1299596E"/>
    <w:rsid w:val="12B502CE"/>
    <w:rsid w:val="12BA41FD"/>
    <w:rsid w:val="12D76496"/>
    <w:rsid w:val="12EE2E8A"/>
    <w:rsid w:val="12F473A6"/>
    <w:rsid w:val="13054DB2"/>
    <w:rsid w:val="13166FBF"/>
    <w:rsid w:val="13855EF2"/>
    <w:rsid w:val="13886F78"/>
    <w:rsid w:val="138A3509"/>
    <w:rsid w:val="13960100"/>
    <w:rsid w:val="13C407C9"/>
    <w:rsid w:val="13D65DB6"/>
    <w:rsid w:val="141379A2"/>
    <w:rsid w:val="14223741"/>
    <w:rsid w:val="142C6FFF"/>
    <w:rsid w:val="14307C60"/>
    <w:rsid w:val="14443BD2"/>
    <w:rsid w:val="145A0FB1"/>
    <w:rsid w:val="145A5976"/>
    <w:rsid w:val="146E5D7A"/>
    <w:rsid w:val="147F2942"/>
    <w:rsid w:val="148937C0"/>
    <w:rsid w:val="14977C8B"/>
    <w:rsid w:val="14C447F8"/>
    <w:rsid w:val="14C5467E"/>
    <w:rsid w:val="14CD2D3D"/>
    <w:rsid w:val="14D94748"/>
    <w:rsid w:val="14DB7C47"/>
    <w:rsid w:val="150B2427"/>
    <w:rsid w:val="15115C90"/>
    <w:rsid w:val="155F2136"/>
    <w:rsid w:val="156060D3"/>
    <w:rsid w:val="156404B5"/>
    <w:rsid w:val="157B0FAE"/>
    <w:rsid w:val="15915022"/>
    <w:rsid w:val="159B37AB"/>
    <w:rsid w:val="15A755F6"/>
    <w:rsid w:val="15B560DA"/>
    <w:rsid w:val="15CB2F25"/>
    <w:rsid w:val="15E213DA"/>
    <w:rsid w:val="16123F34"/>
    <w:rsid w:val="16161084"/>
    <w:rsid w:val="16175B2E"/>
    <w:rsid w:val="16537551"/>
    <w:rsid w:val="167C35DD"/>
    <w:rsid w:val="16A26BA0"/>
    <w:rsid w:val="16A6065A"/>
    <w:rsid w:val="16CC24E5"/>
    <w:rsid w:val="16E679EB"/>
    <w:rsid w:val="16F21AF1"/>
    <w:rsid w:val="17171557"/>
    <w:rsid w:val="171B2DF6"/>
    <w:rsid w:val="171D682A"/>
    <w:rsid w:val="173043C7"/>
    <w:rsid w:val="173E040E"/>
    <w:rsid w:val="17435EA8"/>
    <w:rsid w:val="176A78D9"/>
    <w:rsid w:val="17793FC0"/>
    <w:rsid w:val="17AC7EF2"/>
    <w:rsid w:val="17C40B1D"/>
    <w:rsid w:val="17EC4792"/>
    <w:rsid w:val="17F378CF"/>
    <w:rsid w:val="182A30AB"/>
    <w:rsid w:val="18301510"/>
    <w:rsid w:val="18470C21"/>
    <w:rsid w:val="185A161B"/>
    <w:rsid w:val="185B5474"/>
    <w:rsid w:val="185C36C6"/>
    <w:rsid w:val="18A20103"/>
    <w:rsid w:val="190A3C39"/>
    <w:rsid w:val="19222CB8"/>
    <w:rsid w:val="193F7B8C"/>
    <w:rsid w:val="19793E03"/>
    <w:rsid w:val="199663FA"/>
    <w:rsid w:val="19966E0F"/>
    <w:rsid w:val="19AE61A3"/>
    <w:rsid w:val="19BB023B"/>
    <w:rsid w:val="19CE05F3"/>
    <w:rsid w:val="19E51499"/>
    <w:rsid w:val="19F811CC"/>
    <w:rsid w:val="1A1B2209"/>
    <w:rsid w:val="1A383CBF"/>
    <w:rsid w:val="1A8C5DB8"/>
    <w:rsid w:val="1A98650B"/>
    <w:rsid w:val="1AC612CA"/>
    <w:rsid w:val="1AD00105"/>
    <w:rsid w:val="1AD93D61"/>
    <w:rsid w:val="1B065B6B"/>
    <w:rsid w:val="1B187D89"/>
    <w:rsid w:val="1B1A668B"/>
    <w:rsid w:val="1B21668B"/>
    <w:rsid w:val="1B2442AA"/>
    <w:rsid w:val="1B332E1D"/>
    <w:rsid w:val="1B683659"/>
    <w:rsid w:val="1B7156DA"/>
    <w:rsid w:val="1B723200"/>
    <w:rsid w:val="1B947D07"/>
    <w:rsid w:val="1BB9498B"/>
    <w:rsid w:val="1BCF2401"/>
    <w:rsid w:val="1BE56A0A"/>
    <w:rsid w:val="1BF260EF"/>
    <w:rsid w:val="1C20736E"/>
    <w:rsid w:val="1C302C98"/>
    <w:rsid w:val="1C3E1540"/>
    <w:rsid w:val="1C4A7CD9"/>
    <w:rsid w:val="1C5648D0"/>
    <w:rsid w:val="1C6F14EE"/>
    <w:rsid w:val="1C737230"/>
    <w:rsid w:val="1C7B7E93"/>
    <w:rsid w:val="1C9F0025"/>
    <w:rsid w:val="1CA4563B"/>
    <w:rsid w:val="1CB24769"/>
    <w:rsid w:val="1CB612AF"/>
    <w:rsid w:val="1CD80C86"/>
    <w:rsid w:val="1CE343B6"/>
    <w:rsid w:val="1CE80822"/>
    <w:rsid w:val="1CF043E1"/>
    <w:rsid w:val="1CF074F6"/>
    <w:rsid w:val="1D012A8E"/>
    <w:rsid w:val="1D0600A4"/>
    <w:rsid w:val="1D2B18B9"/>
    <w:rsid w:val="1D3249F5"/>
    <w:rsid w:val="1D352737"/>
    <w:rsid w:val="1D614813"/>
    <w:rsid w:val="1D6628F1"/>
    <w:rsid w:val="1D6B1EDC"/>
    <w:rsid w:val="1D813BCE"/>
    <w:rsid w:val="1D864D41"/>
    <w:rsid w:val="1D921938"/>
    <w:rsid w:val="1D9C70F7"/>
    <w:rsid w:val="1DA13929"/>
    <w:rsid w:val="1DC85359"/>
    <w:rsid w:val="1DD65CC8"/>
    <w:rsid w:val="1DD807FC"/>
    <w:rsid w:val="1DFE08BA"/>
    <w:rsid w:val="1E03335F"/>
    <w:rsid w:val="1E195BB5"/>
    <w:rsid w:val="1E3655AB"/>
    <w:rsid w:val="1E3E73CA"/>
    <w:rsid w:val="1E4F58F4"/>
    <w:rsid w:val="1E4F5A7B"/>
    <w:rsid w:val="1E5014DB"/>
    <w:rsid w:val="1E561241"/>
    <w:rsid w:val="1E65704C"/>
    <w:rsid w:val="1E786BBE"/>
    <w:rsid w:val="1EA850AF"/>
    <w:rsid w:val="1EBD0C36"/>
    <w:rsid w:val="1F165988"/>
    <w:rsid w:val="1F3A7811"/>
    <w:rsid w:val="1F4E188E"/>
    <w:rsid w:val="1F672950"/>
    <w:rsid w:val="1F883572"/>
    <w:rsid w:val="1FA261C8"/>
    <w:rsid w:val="1FDD6E90"/>
    <w:rsid w:val="1FE47E48"/>
    <w:rsid w:val="1FEF03E7"/>
    <w:rsid w:val="1FF40688"/>
    <w:rsid w:val="201725C8"/>
    <w:rsid w:val="20337402"/>
    <w:rsid w:val="204935FF"/>
    <w:rsid w:val="205B27D3"/>
    <w:rsid w:val="20765541"/>
    <w:rsid w:val="207E43F5"/>
    <w:rsid w:val="207F47AE"/>
    <w:rsid w:val="20994D8B"/>
    <w:rsid w:val="20C70CA7"/>
    <w:rsid w:val="213D14CF"/>
    <w:rsid w:val="214E38D8"/>
    <w:rsid w:val="215D04AF"/>
    <w:rsid w:val="216F2939"/>
    <w:rsid w:val="21930481"/>
    <w:rsid w:val="219F0AC7"/>
    <w:rsid w:val="21A460DD"/>
    <w:rsid w:val="21DF17AC"/>
    <w:rsid w:val="21EB3EAD"/>
    <w:rsid w:val="220628F4"/>
    <w:rsid w:val="223124FE"/>
    <w:rsid w:val="22623FCE"/>
    <w:rsid w:val="2266602F"/>
    <w:rsid w:val="22733F28"/>
    <w:rsid w:val="22794E74"/>
    <w:rsid w:val="228079A8"/>
    <w:rsid w:val="22853EE9"/>
    <w:rsid w:val="22877591"/>
    <w:rsid w:val="22CF0F38"/>
    <w:rsid w:val="23057C2B"/>
    <w:rsid w:val="230E1A60"/>
    <w:rsid w:val="232A2EDB"/>
    <w:rsid w:val="233D40F4"/>
    <w:rsid w:val="233F1C1A"/>
    <w:rsid w:val="23503BB1"/>
    <w:rsid w:val="235A27C5"/>
    <w:rsid w:val="235E1B85"/>
    <w:rsid w:val="23645DF9"/>
    <w:rsid w:val="23A10B26"/>
    <w:rsid w:val="23C15F5B"/>
    <w:rsid w:val="23F0560A"/>
    <w:rsid w:val="24062738"/>
    <w:rsid w:val="24082954"/>
    <w:rsid w:val="241035B6"/>
    <w:rsid w:val="241F37F9"/>
    <w:rsid w:val="2426102C"/>
    <w:rsid w:val="24304530"/>
    <w:rsid w:val="247C0C4C"/>
    <w:rsid w:val="247E2C16"/>
    <w:rsid w:val="248B0853"/>
    <w:rsid w:val="248D4775"/>
    <w:rsid w:val="24BE1264"/>
    <w:rsid w:val="24D33316"/>
    <w:rsid w:val="24D7348B"/>
    <w:rsid w:val="24F86524"/>
    <w:rsid w:val="25551BC9"/>
    <w:rsid w:val="255C672A"/>
    <w:rsid w:val="255F2A47"/>
    <w:rsid w:val="256D1848"/>
    <w:rsid w:val="25744FE5"/>
    <w:rsid w:val="258204E4"/>
    <w:rsid w:val="25A71CF8"/>
    <w:rsid w:val="25BD151C"/>
    <w:rsid w:val="25CB1E8B"/>
    <w:rsid w:val="25E90563"/>
    <w:rsid w:val="25EF089A"/>
    <w:rsid w:val="26025181"/>
    <w:rsid w:val="2604714B"/>
    <w:rsid w:val="260B453C"/>
    <w:rsid w:val="261F37C5"/>
    <w:rsid w:val="26243349"/>
    <w:rsid w:val="265C2AE3"/>
    <w:rsid w:val="26B8421F"/>
    <w:rsid w:val="26D9144C"/>
    <w:rsid w:val="270B7A08"/>
    <w:rsid w:val="271F19F6"/>
    <w:rsid w:val="27383AB2"/>
    <w:rsid w:val="274243CE"/>
    <w:rsid w:val="27710810"/>
    <w:rsid w:val="27800A53"/>
    <w:rsid w:val="27CB4F27"/>
    <w:rsid w:val="27D573DB"/>
    <w:rsid w:val="27D70CD3"/>
    <w:rsid w:val="27F356C9"/>
    <w:rsid w:val="27F51441"/>
    <w:rsid w:val="28700AC7"/>
    <w:rsid w:val="288358DB"/>
    <w:rsid w:val="28D92B11"/>
    <w:rsid w:val="28F33BD2"/>
    <w:rsid w:val="290C1785"/>
    <w:rsid w:val="292957D6"/>
    <w:rsid w:val="292A6EC8"/>
    <w:rsid w:val="292C49EE"/>
    <w:rsid w:val="293E5CA8"/>
    <w:rsid w:val="295C3FB9"/>
    <w:rsid w:val="29634188"/>
    <w:rsid w:val="29657F00"/>
    <w:rsid w:val="298C36DF"/>
    <w:rsid w:val="299407E6"/>
    <w:rsid w:val="29AB2D0F"/>
    <w:rsid w:val="29CF53DD"/>
    <w:rsid w:val="29F7627D"/>
    <w:rsid w:val="29FA4563"/>
    <w:rsid w:val="2A026374"/>
    <w:rsid w:val="2A026E11"/>
    <w:rsid w:val="2A092F82"/>
    <w:rsid w:val="2A28561B"/>
    <w:rsid w:val="2A4F6D44"/>
    <w:rsid w:val="2A5E32CD"/>
    <w:rsid w:val="2A67266B"/>
    <w:rsid w:val="2A6A7F5B"/>
    <w:rsid w:val="2A7A0C94"/>
    <w:rsid w:val="2A7C7C39"/>
    <w:rsid w:val="2AC05D36"/>
    <w:rsid w:val="2AD10FC0"/>
    <w:rsid w:val="2AD25A69"/>
    <w:rsid w:val="2AF4502B"/>
    <w:rsid w:val="2B0D4CF3"/>
    <w:rsid w:val="2B2142FB"/>
    <w:rsid w:val="2B42499D"/>
    <w:rsid w:val="2B457FE9"/>
    <w:rsid w:val="2B4C581C"/>
    <w:rsid w:val="2B634913"/>
    <w:rsid w:val="2B6A6909"/>
    <w:rsid w:val="2B8D3B27"/>
    <w:rsid w:val="2B8F211A"/>
    <w:rsid w:val="2BBF0A23"/>
    <w:rsid w:val="2BD63337"/>
    <w:rsid w:val="2BDB26FC"/>
    <w:rsid w:val="2BEE2800"/>
    <w:rsid w:val="2BFA0DD4"/>
    <w:rsid w:val="2BFF288E"/>
    <w:rsid w:val="2C0F5DBF"/>
    <w:rsid w:val="2C2417F5"/>
    <w:rsid w:val="2C412EA7"/>
    <w:rsid w:val="2C471B3F"/>
    <w:rsid w:val="2C540D01"/>
    <w:rsid w:val="2C5524AE"/>
    <w:rsid w:val="2C697D08"/>
    <w:rsid w:val="2C8132A3"/>
    <w:rsid w:val="2C8624FF"/>
    <w:rsid w:val="2C8E1203"/>
    <w:rsid w:val="2C956D4E"/>
    <w:rsid w:val="2CAF3458"/>
    <w:rsid w:val="2CB06225"/>
    <w:rsid w:val="2CF55A3F"/>
    <w:rsid w:val="2CF86D6D"/>
    <w:rsid w:val="2D030A47"/>
    <w:rsid w:val="2D09761A"/>
    <w:rsid w:val="2D241E80"/>
    <w:rsid w:val="2D3622E0"/>
    <w:rsid w:val="2D560F91"/>
    <w:rsid w:val="2D7746A6"/>
    <w:rsid w:val="2D7828F8"/>
    <w:rsid w:val="2D905BCB"/>
    <w:rsid w:val="2D9A22EF"/>
    <w:rsid w:val="2D9E7E85"/>
    <w:rsid w:val="2DA237D1"/>
    <w:rsid w:val="2DA27975"/>
    <w:rsid w:val="2DC60BF4"/>
    <w:rsid w:val="2DF31F7F"/>
    <w:rsid w:val="2E051CB2"/>
    <w:rsid w:val="2E0979F4"/>
    <w:rsid w:val="2E2B796A"/>
    <w:rsid w:val="2E421F57"/>
    <w:rsid w:val="2E4E622B"/>
    <w:rsid w:val="2E615640"/>
    <w:rsid w:val="2E7330BF"/>
    <w:rsid w:val="2EB01C1E"/>
    <w:rsid w:val="2EBE07DF"/>
    <w:rsid w:val="2EC211AD"/>
    <w:rsid w:val="2EF91817"/>
    <w:rsid w:val="2F0024E4"/>
    <w:rsid w:val="2F2362E2"/>
    <w:rsid w:val="2F2F1784"/>
    <w:rsid w:val="2F3740ED"/>
    <w:rsid w:val="2F4354F8"/>
    <w:rsid w:val="2F491BA5"/>
    <w:rsid w:val="2F835584"/>
    <w:rsid w:val="2F887245"/>
    <w:rsid w:val="2F912073"/>
    <w:rsid w:val="2F9C320D"/>
    <w:rsid w:val="2FA16F19"/>
    <w:rsid w:val="2FB33B84"/>
    <w:rsid w:val="2FD951A4"/>
    <w:rsid w:val="2FDB7D03"/>
    <w:rsid w:val="2FEF2C1A"/>
    <w:rsid w:val="300264A9"/>
    <w:rsid w:val="300414D2"/>
    <w:rsid w:val="30055F99"/>
    <w:rsid w:val="30112B90"/>
    <w:rsid w:val="30263F71"/>
    <w:rsid w:val="302D34FD"/>
    <w:rsid w:val="30403C59"/>
    <w:rsid w:val="306A43AD"/>
    <w:rsid w:val="307373A7"/>
    <w:rsid w:val="30790319"/>
    <w:rsid w:val="307F5D4C"/>
    <w:rsid w:val="30803872"/>
    <w:rsid w:val="309C68FD"/>
    <w:rsid w:val="30D81900"/>
    <w:rsid w:val="30DF2C8E"/>
    <w:rsid w:val="30F7146C"/>
    <w:rsid w:val="311E37B6"/>
    <w:rsid w:val="312468F3"/>
    <w:rsid w:val="313905F0"/>
    <w:rsid w:val="317F3B29"/>
    <w:rsid w:val="318349D3"/>
    <w:rsid w:val="318C4BC4"/>
    <w:rsid w:val="319665E8"/>
    <w:rsid w:val="31D8395D"/>
    <w:rsid w:val="31DE6AA2"/>
    <w:rsid w:val="31E06CBE"/>
    <w:rsid w:val="31F84F28"/>
    <w:rsid w:val="32096215"/>
    <w:rsid w:val="32204AAC"/>
    <w:rsid w:val="3251196A"/>
    <w:rsid w:val="327411B4"/>
    <w:rsid w:val="327834C8"/>
    <w:rsid w:val="329830F5"/>
    <w:rsid w:val="32D14858"/>
    <w:rsid w:val="32D25DDE"/>
    <w:rsid w:val="32E75E2A"/>
    <w:rsid w:val="33035B1E"/>
    <w:rsid w:val="33350E76"/>
    <w:rsid w:val="33452039"/>
    <w:rsid w:val="335334BF"/>
    <w:rsid w:val="33772B88"/>
    <w:rsid w:val="337A6C9E"/>
    <w:rsid w:val="33820BAF"/>
    <w:rsid w:val="33A930DF"/>
    <w:rsid w:val="33E10ACB"/>
    <w:rsid w:val="33F64577"/>
    <w:rsid w:val="34126ED7"/>
    <w:rsid w:val="343E1402"/>
    <w:rsid w:val="345F3EF0"/>
    <w:rsid w:val="34682EB0"/>
    <w:rsid w:val="346A0AC1"/>
    <w:rsid w:val="34727749"/>
    <w:rsid w:val="34802BC4"/>
    <w:rsid w:val="34A102F7"/>
    <w:rsid w:val="34B21097"/>
    <w:rsid w:val="35373099"/>
    <w:rsid w:val="353E247E"/>
    <w:rsid w:val="35472BB0"/>
    <w:rsid w:val="355518A7"/>
    <w:rsid w:val="355E0625"/>
    <w:rsid w:val="35717D1D"/>
    <w:rsid w:val="35B6273E"/>
    <w:rsid w:val="35E46651"/>
    <w:rsid w:val="35E623C9"/>
    <w:rsid w:val="35FC1BEC"/>
    <w:rsid w:val="36054F33"/>
    <w:rsid w:val="360C12C5"/>
    <w:rsid w:val="360D3DFA"/>
    <w:rsid w:val="363C648D"/>
    <w:rsid w:val="363E2980"/>
    <w:rsid w:val="36700F3B"/>
    <w:rsid w:val="36787EF1"/>
    <w:rsid w:val="36941E25"/>
    <w:rsid w:val="36BE6541"/>
    <w:rsid w:val="36E7289C"/>
    <w:rsid w:val="36F01959"/>
    <w:rsid w:val="36F17FC2"/>
    <w:rsid w:val="371371EE"/>
    <w:rsid w:val="374049B2"/>
    <w:rsid w:val="375B3C7B"/>
    <w:rsid w:val="375F2D76"/>
    <w:rsid w:val="376668D1"/>
    <w:rsid w:val="376F2ADE"/>
    <w:rsid w:val="378557A7"/>
    <w:rsid w:val="379A790F"/>
    <w:rsid w:val="37B2584F"/>
    <w:rsid w:val="37BF2ED1"/>
    <w:rsid w:val="37DD15AA"/>
    <w:rsid w:val="37EE3694"/>
    <w:rsid w:val="37F31FCA"/>
    <w:rsid w:val="381D6C94"/>
    <w:rsid w:val="384821C3"/>
    <w:rsid w:val="384F506A"/>
    <w:rsid w:val="386D6DD1"/>
    <w:rsid w:val="387544EA"/>
    <w:rsid w:val="387C0DC3"/>
    <w:rsid w:val="387D3B50"/>
    <w:rsid w:val="388163D9"/>
    <w:rsid w:val="38A50BC9"/>
    <w:rsid w:val="38BE13DB"/>
    <w:rsid w:val="38BF587F"/>
    <w:rsid w:val="39144F66"/>
    <w:rsid w:val="39243934"/>
    <w:rsid w:val="392C4597"/>
    <w:rsid w:val="39446BA6"/>
    <w:rsid w:val="394A600A"/>
    <w:rsid w:val="395C33B6"/>
    <w:rsid w:val="397003D8"/>
    <w:rsid w:val="397358E6"/>
    <w:rsid w:val="3A0177D1"/>
    <w:rsid w:val="3A094ACB"/>
    <w:rsid w:val="3A102D37"/>
    <w:rsid w:val="3A103EB8"/>
    <w:rsid w:val="3A461688"/>
    <w:rsid w:val="3A6D3C5D"/>
    <w:rsid w:val="3A7C32FC"/>
    <w:rsid w:val="3A914FF9"/>
    <w:rsid w:val="3A971EE4"/>
    <w:rsid w:val="3ABD361D"/>
    <w:rsid w:val="3AD15CEE"/>
    <w:rsid w:val="3AEC222F"/>
    <w:rsid w:val="3AED7D56"/>
    <w:rsid w:val="3AEE3F52"/>
    <w:rsid w:val="3AFF3659"/>
    <w:rsid w:val="3B00611C"/>
    <w:rsid w:val="3B022FE9"/>
    <w:rsid w:val="3B3F4210"/>
    <w:rsid w:val="3B4C6D41"/>
    <w:rsid w:val="3B4E6A46"/>
    <w:rsid w:val="3B5A10F2"/>
    <w:rsid w:val="3B842468"/>
    <w:rsid w:val="3B9443BF"/>
    <w:rsid w:val="3BA26D92"/>
    <w:rsid w:val="3BD2085A"/>
    <w:rsid w:val="3BD333EF"/>
    <w:rsid w:val="3BDC2DEA"/>
    <w:rsid w:val="3BDF1600"/>
    <w:rsid w:val="3BE00A9C"/>
    <w:rsid w:val="3C20265B"/>
    <w:rsid w:val="3C223CD1"/>
    <w:rsid w:val="3C3025F0"/>
    <w:rsid w:val="3C325B03"/>
    <w:rsid w:val="3C4A1903"/>
    <w:rsid w:val="3C55546F"/>
    <w:rsid w:val="3C594E5B"/>
    <w:rsid w:val="3C6D55F2"/>
    <w:rsid w:val="3C7921E9"/>
    <w:rsid w:val="3C7E2AAC"/>
    <w:rsid w:val="3CA37533"/>
    <w:rsid w:val="3CB925E5"/>
    <w:rsid w:val="3CDB07AE"/>
    <w:rsid w:val="3CE64AA0"/>
    <w:rsid w:val="3CE753A4"/>
    <w:rsid w:val="3CEB5F3D"/>
    <w:rsid w:val="3CF907F5"/>
    <w:rsid w:val="3D0A2E41"/>
    <w:rsid w:val="3D1E68EC"/>
    <w:rsid w:val="3D3879AE"/>
    <w:rsid w:val="3D3922C2"/>
    <w:rsid w:val="3D3E0D3C"/>
    <w:rsid w:val="3D534EB2"/>
    <w:rsid w:val="3D580F1D"/>
    <w:rsid w:val="3D891FB8"/>
    <w:rsid w:val="3D8F2026"/>
    <w:rsid w:val="3D9216FB"/>
    <w:rsid w:val="3D9474EB"/>
    <w:rsid w:val="3DCE75E8"/>
    <w:rsid w:val="3DE03BA2"/>
    <w:rsid w:val="3DF53AF1"/>
    <w:rsid w:val="3E2C4A1C"/>
    <w:rsid w:val="3E3D2DA2"/>
    <w:rsid w:val="3E562981"/>
    <w:rsid w:val="3E7C7D6E"/>
    <w:rsid w:val="3E9C3F6D"/>
    <w:rsid w:val="3EB23790"/>
    <w:rsid w:val="3EB370BF"/>
    <w:rsid w:val="3ECA2888"/>
    <w:rsid w:val="3ECB6600"/>
    <w:rsid w:val="3EF9316D"/>
    <w:rsid w:val="3F010273"/>
    <w:rsid w:val="3F2A1578"/>
    <w:rsid w:val="3F381EE7"/>
    <w:rsid w:val="3F3A009B"/>
    <w:rsid w:val="3F423967"/>
    <w:rsid w:val="3F6E3B5B"/>
    <w:rsid w:val="3F755007"/>
    <w:rsid w:val="3F9B5FD2"/>
    <w:rsid w:val="3FB5178A"/>
    <w:rsid w:val="3FDF4E54"/>
    <w:rsid w:val="3FE2141C"/>
    <w:rsid w:val="3FF1457A"/>
    <w:rsid w:val="400274A0"/>
    <w:rsid w:val="401F09B1"/>
    <w:rsid w:val="403021FE"/>
    <w:rsid w:val="40474811"/>
    <w:rsid w:val="404B3E9C"/>
    <w:rsid w:val="40550877"/>
    <w:rsid w:val="405C1C05"/>
    <w:rsid w:val="40842F0A"/>
    <w:rsid w:val="40A278BB"/>
    <w:rsid w:val="40BF3F42"/>
    <w:rsid w:val="40F11E96"/>
    <w:rsid w:val="40F47DB5"/>
    <w:rsid w:val="40F6645A"/>
    <w:rsid w:val="412F53D3"/>
    <w:rsid w:val="414266F8"/>
    <w:rsid w:val="415D5FE1"/>
    <w:rsid w:val="41635971"/>
    <w:rsid w:val="41686388"/>
    <w:rsid w:val="4177481D"/>
    <w:rsid w:val="41A01FC6"/>
    <w:rsid w:val="41A25D3E"/>
    <w:rsid w:val="41DA7286"/>
    <w:rsid w:val="41DC0953"/>
    <w:rsid w:val="41F43097"/>
    <w:rsid w:val="41F77813"/>
    <w:rsid w:val="42073DF3"/>
    <w:rsid w:val="42366486"/>
    <w:rsid w:val="42424E2B"/>
    <w:rsid w:val="424D3EFC"/>
    <w:rsid w:val="42711572"/>
    <w:rsid w:val="42827597"/>
    <w:rsid w:val="42CB6BCE"/>
    <w:rsid w:val="42E63400"/>
    <w:rsid w:val="42FF4201"/>
    <w:rsid w:val="43056584"/>
    <w:rsid w:val="43151FA6"/>
    <w:rsid w:val="432E070E"/>
    <w:rsid w:val="43317379"/>
    <w:rsid w:val="4374370A"/>
    <w:rsid w:val="43A63197"/>
    <w:rsid w:val="43D85A47"/>
    <w:rsid w:val="43DC60B2"/>
    <w:rsid w:val="43EE12FB"/>
    <w:rsid w:val="441B2C89"/>
    <w:rsid w:val="442E5667"/>
    <w:rsid w:val="4457770E"/>
    <w:rsid w:val="44845B8F"/>
    <w:rsid w:val="449B0822"/>
    <w:rsid w:val="44A771C7"/>
    <w:rsid w:val="44B939FD"/>
    <w:rsid w:val="44BB002C"/>
    <w:rsid w:val="44DC50C3"/>
    <w:rsid w:val="44ED1489"/>
    <w:rsid w:val="45063E0A"/>
    <w:rsid w:val="452B6AC8"/>
    <w:rsid w:val="45344BCB"/>
    <w:rsid w:val="45470B7B"/>
    <w:rsid w:val="454C355D"/>
    <w:rsid w:val="455931FE"/>
    <w:rsid w:val="45736432"/>
    <w:rsid w:val="4587104E"/>
    <w:rsid w:val="45884789"/>
    <w:rsid w:val="45A57BAB"/>
    <w:rsid w:val="45A94279"/>
    <w:rsid w:val="45D64208"/>
    <w:rsid w:val="461C16C9"/>
    <w:rsid w:val="46771683"/>
    <w:rsid w:val="468A0B4E"/>
    <w:rsid w:val="46B04A59"/>
    <w:rsid w:val="46F94199"/>
    <w:rsid w:val="471054F8"/>
    <w:rsid w:val="47162B8B"/>
    <w:rsid w:val="47262F6D"/>
    <w:rsid w:val="4729312F"/>
    <w:rsid w:val="472D7E58"/>
    <w:rsid w:val="47305B9A"/>
    <w:rsid w:val="47555616"/>
    <w:rsid w:val="476F5179"/>
    <w:rsid w:val="4776498D"/>
    <w:rsid w:val="4780267D"/>
    <w:rsid w:val="4782345D"/>
    <w:rsid w:val="4797439B"/>
    <w:rsid w:val="4799729B"/>
    <w:rsid w:val="479B74B7"/>
    <w:rsid w:val="47A619B8"/>
    <w:rsid w:val="47D227AD"/>
    <w:rsid w:val="47D6611B"/>
    <w:rsid w:val="47DD7526"/>
    <w:rsid w:val="47EE7652"/>
    <w:rsid w:val="480908C5"/>
    <w:rsid w:val="484C255F"/>
    <w:rsid w:val="48560C80"/>
    <w:rsid w:val="4867383D"/>
    <w:rsid w:val="486755EB"/>
    <w:rsid w:val="487B2E45"/>
    <w:rsid w:val="487F2935"/>
    <w:rsid w:val="488717E9"/>
    <w:rsid w:val="48875DDD"/>
    <w:rsid w:val="488A12DA"/>
    <w:rsid w:val="488E0DCA"/>
    <w:rsid w:val="48AA3014"/>
    <w:rsid w:val="48B52FCC"/>
    <w:rsid w:val="48BC5937"/>
    <w:rsid w:val="48DC7D87"/>
    <w:rsid w:val="48ED480C"/>
    <w:rsid w:val="48FA645F"/>
    <w:rsid w:val="490C6508"/>
    <w:rsid w:val="49105F2E"/>
    <w:rsid w:val="49530C2E"/>
    <w:rsid w:val="49751476"/>
    <w:rsid w:val="498D12C8"/>
    <w:rsid w:val="49951CE4"/>
    <w:rsid w:val="49A563CB"/>
    <w:rsid w:val="49AC4D35"/>
    <w:rsid w:val="49DA1F1A"/>
    <w:rsid w:val="49E8450A"/>
    <w:rsid w:val="4A013A70"/>
    <w:rsid w:val="4A1B48DF"/>
    <w:rsid w:val="4A2319E6"/>
    <w:rsid w:val="4A372D9B"/>
    <w:rsid w:val="4A3B38A2"/>
    <w:rsid w:val="4A4D33C3"/>
    <w:rsid w:val="4A594214"/>
    <w:rsid w:val="4A670633"/>
    <w:rsid w:val="4A6F7702"/>
    <w:rsid w:val="4A8A6194"/>
    <w:rsid w:val="4A985F30"/>
    <w:rsid w:val="4A9A17B5"/>
    <w:rsid w:val="4ABB0175"/>
    <w:rsid w:val="4AC92575"/>
    <w:rsid w:val="4AE15A10"/>
    <w:rsid w:val="4AE577E6"/>
    <w:rsid w:val="4AF12437"/>
    <w:rsid w:val="4B052E99"/>
    <w:rsid w:val="4B0B6DF3"/>
    <w:rsid w:val="4B0E7A25"/>
    <w:rsid w:val="4B15132F"/>
    <w:rsid w:val="4B4614E8"/>
    <w:rsid w:val="4B46773A"/>
    <w:rsid w:val="4B582D83"/>
    <w:rsid w:val="4BBD5522"/>
    <w:rsid w:val="4BCD4DA7"/>
    <w:rsid w:val="4BE909E0"/>
    <w:rsid w:val="4C021E2D"/>
    <w:rsid w:val="4C742085"/>
    <w:rsid w:val="4C772382"/>
    <w:rsid w:val="4C7B30E7"/>
    <w:rsid w:val="4C816B27"/>
    <w:rsid w:val="4C883D82"/>
    <w:rsid w:val="4C9E1C14"/>
    <w:rsid w:val="4CA30125"/>
    <w:rsid w:val="4CC1768E"/>
    <w:rsid w:val="4CCC1EC1"/>
    <w:rsid w:val="4CD97E11"/>
    <w:rsid w:val="4CE865CF"/>
    <w:rsid w:val="4D007DBC"/>
    <w:rsid w:val="4D153ECD"/>
    <w:rsid w:val="4D2B4E39"/>
    <w:rsid w:val="4D5819A6"/>
    <w:rsid w:val="4D6420F9"/>
    <w:rsid w:val="4D693BB4"/>
    <w:rsid w:val="4D7A191D"/>
    <w:rsid w:val="4D8B58D8"/>
    <w:rsid w:val="4D987FF5"/>
    <w:rsid w:val="4DA22C22"/>
    <w:rsid w:val="4DAD4BEF"/>
    <w:rsid w:val="4DAF797F"/>
    <w:rsid w:val="4E2140F4"/>
    <w:rsid w:val="4E3E6DEE"/>
    <w:rsid w:val="4E5F62B6"/>
    <w:rsid w:val="4E61488B"/>
    <w:rsid w:val="4E656129"/>
    <w:rsid w:val="4E6D76D3"/>
    <w:rsid w:val="4E793282"/>
    <w:rsid w:val="4E7E368F"/>
    <w:rsid w:val="4E8567CB"/>
    <w:rsid w:val="4E883AF0"/>
    <w:rsid w:val="4EA50C1B"/>
    <w:rsid w:val="4ED10F45"/>
    <w:rsid w:val="4EE31744"/>
    <w:rsid w:val="4EE75D3B"/>
    <w:rsid w:val="4EED444A"/>
    <w:rsid w:val="4EEF633A"/>
    <w:rsid w:val="4EFD2805"/>
    <w:rsid w:val="4EFE032C"/>
    <w:rsid w:val="4F0B3174"/>
    <w:rsid w:val="4F302BDB"/>
    <w:rsid w:val="4F506DD9"/>
    <w:rsid w:val="4F5148FF"/>
    <w:rsid w:val="4F764366"/>
    <w:rsid w:val="4F7815E6"/>
    <w:rsid w:val="4F866F29"/>
    <w:rsid w:val="4F8E7901"/>
    <w:rsid w:val="4FDD6193"/>
    <w:rsid w:val="4FE155A6"/>
    <w:rsid w:val="4FE17A31"/>
    <w:rsid w:val="4FF534DD"/>
    <w:rsid w:val="4FFE6835"/>
    <w:rsid w:val="501C1D7E"/>
    <w:rsid w:val="5022696B"/>
    <w:rsid w:val="502C2B31"/>
    <w:rsid w:val="502C7FBC"/>
    <w:rsid w:val="503264DF"/>
    <w:rsid w:val="504D50C7"/>
    <w:rsid w:val="50746AF7"/>
    <w:rsid w:val="50A56CB1"/>
    <w:rsid w:val="50B05655"/>
    <w:rsid w:val="5111061A"/>
    <w:rsid w:val="511300BE"/>
    <w:rsid w:val="512F5D26"/>
    <w:rsid w:val="513F5064"/>
    <w:rsid w:val="515B1A65"/>
    <w:rsid w:val="51830B3C"/>
    <w:rsid w:val="519B70B1"/>
    <w:rsid w:val="51A715C3"/>
    <w:rsid w:val="51B82A14"/>
    <w:rsid w:val="51D1789B"/>
    <w:rsid w:val="51D610EC"/>
    <w:rsid w:val="51DD247A"/>
    <w:rsid w:val="51F41F0A"/>
    <w:rsid w:val="51F6353C"/>
    <w:rsid w:val="52101A89"/>
    <w:rsid w:val="52224331"/>
    <w:rsid w:val="522602C5"/>
    <w:rsid w:val="52281131"/>
    <w:rsid w:val="52291B63"/>
    <w:rsid w:val="52572B55"/>
    <w:rsid w:val="527548A5"/>
    <w:rsid w:val="52974D1F"/>
    <w:rsid w:val="52BF7DD2"/>
    <w:rsid w:val="52C93019"/>
    <w:rsid w:val="52D371F6"/>
    <w:rsid w:val="53206AC2"/>
    <w:rsid w:val="53257AFD"/>
    <w:rsid w:val="532E1D8F"/>
    <w:rsid w:val="534F73A8"/>
    <w:rsid w:val="53874D93"/>
    <w:rsid w:val="538C0B79"/>
    <w:rsid w:val="53A72D40"/>
    <w:rsid w:val="53E06252"/>
    <w:rsid w:val="53E126F6"/>
    <w:rsid w:val="53F63F22"/>
    <w:rsid w:val="5429409D"/>
    <w:rsid w:val="54344FF9"/>
    <w:rsid w:val="545729B8"/>
    <w:rsid w:val="546C0B28"/>
    <w:rsid w:val="546D5D37"/>
    <w:rsid w:val="5475399D"/>
    <w:rsid w:val="54847FC1"/>
    <w:rsid w:val="5486504B"/>
    <w:rsid w:val="54882B71"/>
    <w:rsid w:val="549D313E"/>
    <w:rsid w:val="54AA7467"/>
    <w:rsid w:val="54C54378"/>
    <w:rsid w:val="54DC2048"/>
    <w:rsid w:val="54F93A6F"/>
    <w:rsid w:val="54FE72D7"/>
    <w:rsid w:val="55012924"/>
    <w:rsid w:val="55107252"/>
    <w:rsid w:val="55216B22"/>
    <w:rsid w:val="5546444E"/>
    <w:rsid w:val="554D5B69"/>
    <w:rsid w:val="554D7917"/>
    <w:rsid w:val="556E620B"/>
    <w:rsid w:val="55A51501"/>
    <w:rsid w:val="55B33C1E"/>
    <w:rsid w:val="55B972DC"/>
    <w:rsid w:val="55D546E3"/>
    <w:rsid w:val="55F336B3"/>
    <w:rsid w:val="56301712"/>
    <w:rsid w:val="565D002E"/>
    <w:rsid w:val="56717635"/>
    <w:rsid w:val="56735AE5"/>
    <w:rsid w:val="568871A1"/>
    <w:rsid w:val="56951DE8"/>
    <w:rsid w:val="56982E14"/>
    <w:rsid w:val="56A660C1"/>
    <w:rsid w:val="56A8574D"/>
    <w:rsid w:val="56AA6BB9"/>
    <w:rsid w:val="56D007FF"/>
    <w:rsid w:val="56E23C93"/>
    <w:rsid w:val="56FA762A"/>
    <w:rsid w:val="5710667A"/>
    <w:rsid w:val="571A47DA"/>
    <w:rsid w:val="572377CE"/>
    <w:rsid w:val="574A05B2"/>
    <w:rsid w:val="574F7976"/>
    <w:rsid w:val="575768CF"/>
    <w:rsid w:val="576A0C54"/>
    <w:rsid w:val="57791001"/>
    <w:rsid w:val="578C0BCA"/>
    <w:rsid w:val="5797131D"/>
    <w:rsid w:val="57DA7B88"/>
    <w:rsid w:val="582701AE"/>
    <w:rsid w:val="58353010"/>
    <w:rsid w:val="58405952"/>
    <w:rsid w:val="5842572D"/>
    <w:rsid w:val="58450D79"/>
    <w:rsid w:val="58562F86"/>
    <w:rsid w:val="5864068A"/>
    <w:rsid w:val="58704048"/>
    <w:rsid w:val="587F350D"/>
    <w:rsid w:val="587F5D4A"/>
    <w:rsid w:val="588D6F55"/>
    <w:rsid w:val="58BC4221"/>
    <w:rsid w:val="58C16652"/>
    <w:rsid w:val="58C425E6"/>
    <w:rsid w:val="58F5454D"/>
    <w:rsid w:val="58FC2F6D"/>
    <w:rsid w:val="592807AA"/>
    <w:rsid w:val="595E3F2E"/>
    <w:rsid w:val="59792210"/>
    <w:rsid w:val="59796F2C"/>
    <w:rsid w:val="597A0C6C"/>
    <w:rsid w:val="599257DE"/>
    <w:rsid w:val="59A81837"/>
    <w:rsid w:val="59AC7302"/>
    <w:rsid w:val="59D811AC"/>
    <w:rsid w:val="59E20E86"/>
    <w:rsid w:val="59E76152"/>
    <w:rsid w:val="59EC5950"/>
    <w:rsid w:val="59EF3692"/>
    <w:rsid w:val="59F1740B"/>
    <w:rsid w:val="59F20A8D"/>
    <w:rsid w:val="5A075698"/>
    <w:rsid w:val="5A241D8D"/>
    <w:rsid w:val="5A2A0227"/>
    <w:rsid w:val="5A647BDD"/>
    <w:rsid w:val="5A81078E"/>
    <w:rsid w:val="5ADD34EB"/>
    <w:rsid w:val="5B1C4388"/>
    <w:rsid w:val="5B246739"/>
    <w:rsid w:val="5B4850F7"/>
    <w:rsid w:val="5B57547B"/>
    <w:rsid w:val="5B791466"/>
    <w:rsid w:val="5BEF5C4B"/>
    <w:rsid w:val="5BF1724E"/>
    <w:rsid w:val="5C0827EA"/>
    <w:rsid w:val="5C083900"/>
    <w:rsid w:val="5C1B26FA"/>
    <w:rsid w:val="5C3F445D"/>
    <w:rsid w:val="5C496222"/>
    <w:rsid w:val="5C4C26D6"/>
    <w:rsid w:val="5C74132F"/>
    <w:rsid w:val="5C7C7E54"/>
    <w:rsid w:val="5C7F3758"/>
    <w:rsid w:val="5CA51B97"/>
    <w:rsid w:val="5CAC13C7"/>
    <w:rsid w:val="5CB438C3"/>
    <w:rsid w:val="5CCA0FAE"/>
    <w:rsid w:val="5CD050B5"/>
    <w:rsid w:val="5CE2303B"/>
    <w:rsid w:val="5CF875C3"/>
    <w:rsid w:val="5D0631CD"/>
    <w:rsid w:val="5D6A41D1"/>
    <w:rsid w:val="5D804D2D"/>
    <w:rsid w:val="5D852344"/>
    <w:rsid w:val="5D8D11F8"/>
    <w:rsid w:val="5D900285"/>
    <w:rsid w:val="5DC310BE"/>
    <w:rsid w:val="5DD72473"/>
    <w:rsid w:val="5DD82CCC"/>
    <w:rsid w:val="5DEB5F1F"/>
    <w:rsid w:val="5DEF56E3"/>
    <w:rsid w:val="5E2751A9"/>
    <w:rsid w:val="5E371164"/>
    <w:rsid w:val="5E3E0745"/>
    <w:rsid w:val="5E4A5D0E"/>
    <w:rsid w:val="5E59732C"/>
    <w:rsid w:val="5E647127"/>
    <w:rsid w:val="5E895E64"/>
    <w:rsid w:val="5EA8533D"/>
    <w:rsid w:val="5EB73B7E"/>
    <w:rsid w:val="5ED115B9"/>
    <w:rsid w:val="5ED3229F"/>
    <w:rsid w:val="5EE312A5"/>
    <w:rsid w:val="5EFA55D4"/>
    <w:rsid w:val="5EFC4888"/>
    <w:rsid w:val="5F1C1237"/>
    <w:rsid w:val="5F210E21"/>
    <w:rsid w:val="5F2671B7"/>
    <w:rsid w:val="5F313E05"/>
    <w:rsid w:val="5F7D0F9F"/>
    <w:rsid w:val="5F977ED7"/>
    <w:rsid w:val="5FAB005C"/>
    <w:rsid w:val="5FC66C44"/>
    <w:rsid w:val="5FC8476A"/>
    <w:rsid w:val="5FCD7FD2"/>
    <w:rsid w:val="5FD0361E"/>
    <w:rsid w:val="5FD4310E"/>
    <w:rsid w:val="5FD63E76"/>
    <w:rsid w:val="5FF67753"/>
    <w:rsid w:val="6005776C"/>
    <w:rsid w:val="602437A7"/>
    <w:rsid w:val="602E1B5A"/>
    <w:rsid w:val="60433DF0"/>
    <w:rsid w:val="605E6E7C"/>
    <w:rsid w:val="605F2118"/>
    <w:rsid w:val="60687CFB"/>
    <w:rsid w:val="60781824"/>
    <w:rsid w:val="609F1EE0"/>
    <w:rsid w:val="60BF667B"/>
    <w:rsid w:val="60FC55B8"/>
    <w:rsid w:val="60FD48E7"/>
    <w:rsid w:val="6101797F"/>
    <w:rsid w:val="61251748"/>
    <w:rsid w:val="612A73FD"/>
    <w:rsid w:val="61354081"/>
    <w:rsid w:val="613F38F1"/>
    <w:rsid w:val="6148653D"/>
    <w:rsid w:val="61816F40"/>
    <w:rsid w:val="61826B9A"/>
    <w:rsid w:val="618C4255"/>
    <w:rsid w:val="61A37DB4"/>
    <w:rsid w:val="61CB1970"/>
    <w:rsid w:val="61CB62CF"/>
    <w:rsid w:val="61CE776A"/>
    <w:rsid w:val="61F01BD8"/>
    <w:rsid w:val="62157A0E"/>
    <w:rsid w:val="62310026"/>
    <w:rsid w:val="62326812"/>
    <w:rsid w:val="623C143F"/>
    <w:rsid w:val="62685D90"/>
    <w:rsid w:val="626A5FAC"/>
    <w:rsid w:val="62733F09"/>
    <w:rsid w:val="62782477"/>
    <w:rsid w:val="629B4C99"/>
    <w:rsid w:val="62A32961"/>
    <w:rsid w:val="62C76BE7"/>
    <w:rsid w:val="62EC4117"/>
    <w:rsid w:val="63052056"/>
    <w:rsid w:val="63554566"/>
    <w:rsid w:val="635B76A3"/>
    <w:rsid w:val="63620C31"/>
    <w:rsid w:val="63714B74"/>
    <w:rsid w:val="637D586B"/>
    <w:rsid w:val="63841B73"/>
    <w:rsid w:val="639F3A33"/>
    <w:rsid w:val="63A02962"/>
    <w:rsid w:val="63BA261B"/>
    <w:rsid w:val="63C416EC"/>
    <w:rsid w:val="63C65464"/>
    <w:rsid w:val="63F3092F"/>
    <w:rsid w:val="63F55D49"/>
    <w:rsid w:val="6409111D"/>
    <w:rsid w:val="64095351"/>
    <w:rsid w:val="64104931"/>
    <w:rsid w:val="64186BF0"/>
    <w:rsid w:val="64347B68"/>
    <w:rsid w:val="64387734"/>
    <w:rsid w:val="64476F4B"/>
    <w:rsid w:val="64496851"/>
    <w:rsid w:val="644A1BF1"/>
    <w:rsid w:val="644E49FD"/>
    <w:rsid w:val="64701965"/>
    <w:rsid w:val="64723DDE"/>
    <w:rsid w:val="64874BF3"/>
    <w:rsid w:val="649317EA"/>
    <w:rsid w:val="649B244D"/>
    <w:rsid w:val="64BD3EC5"/>
    <w:rsid w:val="64C71494"/>
    <w:rsid w:val="64DD0CB7"/>
    <w:rsid w:val="64EC0EFA"/>
    <w:rsid w:val="652F7039"/>
    <w:rsid w:val="659F29F0"/>
    <w:rsid w:val="65AA43C0"/>
    <w:rsid w:val="65B25CA0"/>
    <w:rsid w:val="65BF5216"/>
    <w:rsid w:val="660A5ADC"/>
    <w:rsid w:val="661E50E3"/>
    <w:rsid w:val="66214BD4"/>
    <w:rsid w:val="66410DD2"/>
    <w:rsid w:val="66482304"/>
    <w:rsid w:val="664D7777"/>
    <w:rsid w:val="666D606B"/>
    <w:rsid w:val="669F55BD"/>
    <w:rsid w:val="66AA5385"/>
    <w:rsid w:val="66B15F58"/>
    <w:rsid w:val="66B6151E"/>
    <w:rsid w:val="66DB1E9F"/>
    <w:rsid w:val="66EA3218"/>
    <w:rsid w:val="67026C60"/>
    <w:rsid w:val="671F6E1E"/>
    <w:rsid w:val="67357BB4"/>
    <w:rsid w:val="67430B7A"/>
    <w:rsid w:val="674D0433"/>
    <w:rsid w:val="67515045"/>
    <w:rsid w:val="675D7E8D"/>
    <w:rsid w:val="676A6106"/>
    <w:rsid w:val="677B5E39"/>
    <w:rsid w:val="67812B00"/>
    <w:rsid w:val="679F2254"/>
    <w:rsid w:val="67CD7ADC"/>
    <w:rsid w:val="67D071A3"/>
    <w:rsid w:val="67EC1211"/>
    <w:rsid w:val="68047580"/>
    <w:rsid w:val="680C2DD0"/>
    <w:rsid w:val="68320F9A"/>
    <w:rsid w:val="68694610"/>
    <w:rsid w:val="68761DA1"/>
    <w:rsid w:val="68A4599C"/>
    <w:rsid w:val="68C67025"/>
    <w:rsid w:val="68D9610E"/>
    <w:rsid w:val="68FA5D52"/>
    <w:rsid w:val="68FD74FA"/>
    <w:rsid w:val="6951757E"/>
    <w:rsid w:val="69531548"/>
    <w:rsid w:val="69586B5E"/>
    <w:rsid w:val="695B21AB"/>
    <w:rsid w:val="696E310F"/>
    <w:rsid w:val="696F5C56"/>
    <w:rsid w:val="6978781F"/>
    <w:rsid w:val="697B0A9F"/>
    <w:rsid w:val="69A7257C"/>
    <w:rsid w:val="69A954D6"/>
    <w:rsid w:val="69DC778F"/>
    <w:rsid w:val="69E76134"/>
    <w:rsid w:val="69F47064"/>
    <w:rsid w:val="6A0A4F7F"/>
    <w:rsid w:val="6A1A02B8"/>
    <w:rsid w:val="6A1D2F94"/>
    <w:rsid w:val="6A1D3904"/>
    <w:rsid w:val="6A2C5310"/>
    <w:rsid w:val="6A366774"/>
    <w:rsid w:val="6A6D70B4"/>
    <w:rsid w:val="6A7D62B1"/>
    <w:rsid w:val="6A893B72"/>
    <w:rsid w:val="6A9516EC"/>
    <w:rsid w:val="6AD2040A"/>
    <w:rsid w:val="6AD753CA"/>
    <w:rsid w:val="6AE3108D"/>
    <w:rsid w:val="6B007E4F"/>
    <w:rsid w:val="6B034F84"/>
    <w:rsid w:val="6B0845B4"/>
    <w:rsid w:val="6B293D02"/>
    <w:rsid w:val="6B2A452A"/>
    <w:rsid w:val="6B2F38EF"/>
    <w:rsid w:val="6B37733A"/>
    <w:rsid w:val="6B554DFC"/>
    <w:rsid w:val="6B59050C"/>
    <w:rsid w:val="6B5B3B05"/>
    <w:rsid w:val="6B5E2E58"/>
    <w:rsid w:val="6B633598"/>
    <w:rsid w:val="6B8208FC"/>
    <w:rsid w:val="6B866442"/>
    <w:rsid w:val="6B8D6867"/>
    <w:rsid w:val="6B9D1BE8"/>
    <w:rsid w:val="6BA87307"/>
    <w:rsid w:val="6BAC3191"/>
    <w:rsid w:val="6BBE4C73"/>
    <w:rsid w:val="6BC37D13"/>
    <w:rsid w:val="6BDD0D75"/>
    <w:rsid w:val="6C0A1964"/>
    <w:rsid w:val="6C0E7BE4"/>
    <w:rsid w:val="6C2947E2"/>
    <w:rsid w:val="6C3E3F7F"/>
    <w:rsid w:val="6C6121CE"/>
    <w:rsid w:val="6C7D1B5B"/>
    <w:rsid w:val="6CB97971"/>
    <w:rsid w:val="6CCF5389"/>
    <w:rsid w:val="6CD302E6"/>
    <w:rsid w:val="6CD40BF2"/>
    <w:rsid w:val="6CDB4CDB"/>
    <w:rsid w:val="6CDD0A62"/>
    <w:rsid w:val="6CE93F71"/>
    <w:rsid w:val="6CF7668E"/>
    <w:rsid w:val="6CFD6518"/>
    <w:rsid w:val="6CFF5543"/>
    <w:rsid w:val="6D0E3FF4"/>
    <w:rsid w:val="6D396CA7"/>
    <w:rsid w:val="6D4C4C2C"/>
    <w:rsid w:val="6D4C69DA"/>
    <w:rsid w:val="6D5B09CB"/>
    <w:rsid w:val="6DAF0D17"/>
    <w:rsid w:val="6DD32C57"/>
    <w:rsid w:val="6E3B2A5B"/>
    <w:rsid w:val="6E5378F4"/>
    <w:rsid w:val="6E541F23"/>
    <w:rsid w:val="6E5A5127"/>
    <w:rsid w:val="6E7855AD"/>
    <w:rsid w:val="6E906D9A"/>
    <w:rsid w:val="6E957A7E"/>
    <w:rsid w:val="6EAD46C4"/>
    <w:rsid w:val="6EBB5205"/>
    <w:rsid w:val="6EE04684"/>
    <w:rsid w:val="6EE778C4"/>
    <w:rsid w:val="6F5243D5"/>
    <w:rsid w:val="6F751AEC"/>
    <w:rsid w:val="6F926B42"/>
    <w:rsid w:val="6F953D43"/>
    <w:rsid w:val="6FA04DBB"/>
    <w:rsid w:val="6FC33C07"/>
    <w:rsid w:val="6FCD12F8"/>
    <w:rsid w:val="6FD66A2F"/>
    <w:rsid w:val="6FE01107"/>
    <w:rsid w:val="6FF1412A"/>
    <w:rsid w:val="6FFE1AE2"/>
    <w:rsid w:val="700F3CEF"/>
    <w:rsid w:val="703E6382"/>
    <w:rsid w:val="704E20A9"/>
    <w:rsid w:val="705E53A2"/>
    <w:rsid w:val="70645DE9"/>
    <w:rsid w:val="70713A5C"/>
    <w:rsid w:val="70877D29"/>
    <w:rsid w:val="708A15C7"/>
    <w:rsid w:val="70981A82"/>
    <w:rsid w:val="70C26FB3"/>
    <w:rsid w:val="70F3716D"/>
    <w:rsid w:val="70FB2176"/>
    <w:rsid w:val="7113017D"/>
    <w:rsid w:val="711872FF"/>
    <w:rsid w:val="71290DE0"/>
    <w:rsid w:val="71402FB7"/>
    <w:rsid w:val="714F06F6"/>
    <w:rsid w:val="716B13F9"/>
    <w:rsid w:val="71924BD7"/>
    <w:rsid w:val="719B1CDE"/>
    <w:rsid w:val="71A212BE"/>
    <w:rsid w:val="71B20DD6"/>
    <w:rsid w:val="71C72AD3"/>
    <w:rsid w:val="71D46BA0"/>
    <w:rsid w:val="71E60A7F"/>
    <w:rsid w:val="71FC5D42"/>
    <w:rsid w:val="721970A7"/>
    <w:rsid w:val="722C082B"/>
    <w:rsid w:val="72443780"/>
    <w:rsid w:val="72477770"/>
    <w:rsid w:val="72783DCD"/>
    <w:rsid w:val="727E72B8"/>
    <w:rsid w:val="72834520"/>
    <w:rsid w:val="72A01D44"/>
    <w:rsid w:val="72A4338E"/>
    <w:rsid w:val="72A93F87"/>
    <w:rsid w:val="72AF58B1"/>
    <w:rsid w:val="72B33057"/>
    <w:rsid w:val="72B53738"/>
    <w:rsid w:val="72CC236B"/>
    <w:rsid w:val="72D03C09"/>
    <w:rsid w:val="72DA6836"/>
    <w:rsid w:val="72E43211"/>
    <w:rsid w:val="72F549A5"/>
    <w:rsid w:val="73770529"/>
    <w:rsid w:val="73832A2A"/>
    <w:rsid w:val="73970283"/>
    <w:rsid w:val="739764D5"/>
    <w:rsid w:val="739801A3"/>
    <w:rsid w:val="7398723A"/>
    <w:rsid w:val="73A01012"/>
    <w:rsid w:val="73BE4B49"/>
    <w:rsid w:val="73EC4FE0"/>
    <w:rsid w:val="741E09A4"/>
    <w:rsid w:val="7420296E"/>
    <w:rsid w:val="74255625"/>
    <w:rsid w:val="742C4E6F"/>
    <w:rsid w:val="742E4F45"/>
    <w:rsid w:val="745368A0"/>
    <w:rsid w:val="745C0893"/>
    <w:rsid w:val="74620891"/>
    <w:rsid w:val="74850A24"/>
    <w:rsid w:val="74875377"/>
    <w:rsid w:val="74965E13"/>
    <w:rsid w:val="749954FB"/>
    <w:rsid w:val="749E3893"/>
    <w:rsid w:val="74B65081"/>
    <w:rsid w:val="74BA5500"/>
    <w:rsid w:val="74C41841"/>
    <w:rsid w:val="74CA4688"/>
    <w:rsid w:val="74E27046"/>
    <w:rsid w:val="74E50822"/>
    <w:rsid w:val="74F13466"/>
    <w:rsid w:val="750C4CA1"/>
    <w:rsid w:val="751F2C26"/>
    <w:rsid w:val="75297601"/>
    <w:rsid w:val="75330BB7"/>
    <w:rsid w:val="755D54FC"/>
    <w:rsid w:val="756305D4"/>
    <w:rsid w:val="756B7790"/>
    <w:rsid w:val="756B7C19"/>
    <w:rsid w:val="75C46AE8"/>
    <w:rsid w:val="75C537D0"/>
    <w:rsid w:val="75CB62C0"/>
    <w:rsid w:val="75DA08FB"/>
    <w:rsid w:val="75F75DC3"/>
    <w:rsid w:val="76124189"/>
    <w:rsid w:val="761958C7"/>
    <w:rsid w:val="761B5B54"/>
    <w:rsid w:val="76216077"/>
    <w:rsid w:val="76547EA6"/>
    <w:rsid w:val="766905FD"/>
    <w:rsid w:val="766A7ED1"/>
    <w:rsid w:val="769D02A6"/>
    <w:rsid w:val="769E5F56"/>
    <w:rsid w:val="769F401E"/>
    <w:rsid w:val="76B03283"/>
    <w:rsid w:val="76CF3562"/>
    <w:rsid w:val="76E25CB9"/>
    <w:rsid w:val="77015B1C"/>
    <w:rsid w:val="770524AE"/>
    <w:rsid w:val="771816DB"/>
    <w:rsid w:val="771B144D"/>
    <w:rsid w:val="772B7660"/>
    <w:rsid w:val="774249AA"/>
    <w:rsid w:val="77476464"/>
    <w:rsid w:val="776C7C79"/>
    <w:rsid w:val="7771703D"/>
    <w:rsid w:val="777B7FBE"/>
    <w:rsid w:val="777C610E"/>
    <w:rsid w:val="77901BB9"/>
    <w:rsid w:val="779D7E32"/>
    <w:rsid w:val="77A967D7"/>
    <w:rsid w:val="77D0645A"/>
    <w:rsid w:val="77FE6B23"/>
    <w:rsid w:val="780F0D30"/>
    <w:rsid w:val="781A0BC0"/>
    <w:rsid w:val="78306EF8"/>
    <w:rsid w:val="78827754"/>
    <w:rsid w:val="78B8118C"/>
    <w:rsid w:val="78E33F6B"/>
    <w:rsid w:val="791800B8"/>
    <w:rsid w:val="792F365B"/>
    <w:rsid w:val="7959756A"/>
    <w:rsid w:val="79694470"/>
    <w:rsid w:val="79711107"/>
    <w:rsid w:val="797572B9"/>
    <w:rsid w:val="798507FA"/>
    <w:rsid w:val="798669BC"/>
    <w:rsid w:val="79921C19"/>
    <w:rsid w:val="79E9735F"/>
    <w:rsid w:val="79F83A80"/>
    <w:rsid w:val="7A066163"/>
    <w:rsid w:val="7A173DAA"/>
    <w:rsid w:val="7A747570"/>
    <w:rsid w:val="7A804167"/>
    <w:rsid w:val="7A884DCA"/>
    <w:rsid w:val="7A8D0632"/>
    <w:rsid w:val="7A903C7E"/>
    <w:rsid w:val="7AD64F51"/>
    <w:rsid w:val="7AED2192"/>
    <w:rsid w:val="7AFF41CC"/>
    <w:rsid w:val="7B095F8D"/>
    <w:rsid w:val="7B0F7456"/>
    <w:rsid w:val="7B246AF3"/>
    <w:rsid w:val="7B507A12"/>
    <w:rsid w:val="7B672C31"/>
    <w:rsid w:val="7B9D6653"/>
    <w:rsid w:val="7BA42683"/>
    <w:rsid w:val="7BAC2D3A"/>
    <w:rsid w:val="7BC260B9"/>
    <w:rsid w:val="7BDA0EA3"/>
    <w:rsid w:val="7BE3090B"/>
    <w:rsid w:val="7BE31070"/>
    <w:rsid w:val="7C0B180E"/>
    <w:rsid w:val="7C1A4147"/>
    <w:rsid w:val="7C442F72"/>
    <w:rsid w:val="7C490E30"/>
    <w:rsid w:val="7C4F3DFD"/>
    <w:rsid w:val="7C662EE9"/>
    <w:rsid w:val="7C784A4F"/>
    <w:rsid w:val="7C8A4E29"/>
    <w:rsid w:val="7C9128D7"/>
    <w:rsid w:val="7C962743"/>
    <w:rsid w:val="7C985738"/>
    <w:rsid w:val="7CA04133"/>
    <w:rsid w:val="7CB92EF4"/>
    <w:rsid w:val="7CC72B69"/>
    <w:rsid w:val="7CFF2E9E"/>
    <w:rsid w:val="7D027841"/>
    <w:rsid w:val="7D140B97"/>
    <w:rsid w:val="7D374949"/>
    <w:rsid w:val="7D3E4DCA"/>
    <w:rsid w:val="7D417288"/>
    <w:rsid w:val="7D4B0E8F"/>
    <w:rsid w:val="7DA13610"/>
    <w:rsid w:val="7DA17F92"/>
    <w:rsid w:val="7DC00977"/>
    <w:rsid w:val="7DCB394B"/>
    <w:rsid w:val="7DD2008B"/>
    <w:rsid w:val="7DDE686D"/>
    <w:rsid w:val="7DFA465A"/>
    <w:rsid w:val="7E10358D"/>
    <w:rsid w:val="7E235535"/>
    <w:rsid w:val="7E903A34"/>
    <w:rsid w:val="7E933D3D"/>
    <w:rsid w:val="7EA67F14"/>
    <w:rsid w:val="7EC127A7"/>
    <w:rsid w:val="7ED02E68"/>
    <w:rsid w:val="7F413799"/>
    <w:rsid w:val="7F4E4FFB"/>
    <w:rsid w:val="7F5B09BB"/>
    <w:rsid w:val="7F5D4A77"/>
    <w:rsid w:val="7F665150"/>
    <w:rsid w:val="7F7A001F"/>
    <w:rsid w:val="7F950E74"/>
    <w:rsid w:val="7F9B734D"/>
    <w:rsid w:val="7FAD75D4"/>
    <w:rsid w:val="7FB86693"/>
    <w:rsid w:val="7FC5201F"/>
    <w:rsid w:val="7FE10415"/>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1"/>
    <w:rPr>
      <w:sz w:val="24"/>
    </w:rPr>
  </w:style>
  <w:style w:type="paragraph" w:styleId="5">
    <w:name w:val="Body Text Indent"/>
    <w:basedOn w:val="1"/>
    <w:qFormat/>
    <w:uiPriority w:val="0"/>
    <w:pPr>
      <w:ind w:firstLine="200" w:firstLineChars="200"/>
    </w:pPr>
    <w:rPr>
      <w:rFonts w:ascii="Times New Roman"/>
      <w:sz w:val="24"/>
    </w:rPr>
  </w:style>
  <w:style w:type="paragraph" w:styleId="6">
    <w:name w:val="footer"/>
    <w:basedOn w:val="1"/>
    <w:unhideWhenUsed/>
    <w:qFormat/>
    <w:uiPriority w:val="99"/>
    <w:pPr>
      <w:tabs>
        <w:tab w:val="center" w:pos="4153"/>
        <w:tab w:val="right" w:pos="8306"/>
      </w:tabs>
      <w:snapToGrid w:val="0"/>
      <w:jc w:val="left"/>
    </w:pPr>
    <w:rPr>
      <w:rFonts w:eastAsia="宋体"/>
      <w:kern w:val="0"/>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rFonts w:eastAsia="宋体"/>
      <w:kern w:val="0"/>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unhideWhenUsed/>
    <w:qFormat/>
    <w:uiPriority w:val="0"/>
    <w:pPr>
      <w:ind w:firstLine="420"/>
    </w:pPr>
    <w:rPr>
      <w:sz w:val="21"/>
    </w:rPr>
  </w:style>
  <w:style w:type="character" w:styleId="12">
    <w:name w:val="Strong"/>
    <w:basedOn w:val="11"/>
    <w:qFormat/>
    <w:uiPriority w:val="0"/>
    <w:rPr>
      <w:b/>
    </w:rPr>
  </w:style>
  <w:style w:type="character" w:styleId="13">
    <w:name w:val="page number"/>
    <w:basedOn w:val="11"/>
    <w:qFormat/>
    <w:uiPriority w:val="0"/>
  </w:style>
  <w:style w:type="character" w:styleId="14">
    <w:name w:val="Emphasis"/>
    <w:basedOn w:val="11"/>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8f9af7e5-f362-4043-8c7f-cf167d195466</errorID>
      <errorWord>；</errorWord>
      <group>L1_Punc</group>
      <groupName>标点问题</groupName>
      <ability>L2_Punc_CN</ability>
      <abilityName>标点符号问题</abilityName>
      <candidateList>
        <item>。</item>
      </candidateList>
      <explain/>
      <paraID>1698E132</paraID>
      <start>112</start>
      <end>113</end>
      <status>ignored</status>
      <modifiedWord/>
      <trackRevisions>false</trackRevisions>
    </reviewItem>
    <reviewItem>
      <errorID>352505d2-d15e-4407-8e56-4e798b8a4921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5B5FB57C</paraID>
      <start>62</start>
      <end>65</end>
      <status>ignored</status>
      <modifiedWord/>
      <trackRevisions>false</trackRevisions>
    </reviewItem>
    <reviewItem>
      <errorID>b9b7c53f-0f47-44cb-91f8-bba3d7089846</errorID>
      <errorWord> </errorWord>
      <group>L1_Punc</group>
      <groupName>标点问题</groupName>
      <ability>L2_Punc_CN</ability>
      <abilityName>标点符号问题</abilityName>
      <candidateList>
        <item>·</item>
      </candidateList>
      <explain/>
      <paraID>7814E58C</paraID>
      <start>43</start>
      <end>44</end>
      <status>ignored</status>
      <modifiedWord/>
      <trackRevisions>false</trackRevisions>
    </reviewItem>
    <reviewItem>
      <errorID>fe20e36b-7d27-46ea-b459-43846aa88ad3</errorID>
      <errorWord> </errorWord>
      <group>L1_Punc</group>
      <groupName>标点问题</groupName>
      <ability>L2_Punc_CN</ability>
      <abilityName>标点符号问题</abilityName>
      <candidateList>
        <item>·</item>
      </candidateList>
      <explain/>
      <paraID>7814E58C</paraID>
      <start>118</start>
      <end>119</end>
      <status>ignored</status>
      <modifiedWord/>
      <trackRevisions>false</trackRevisions>
    </reviewItem>
    <reviewItem>
      <errorID>9cc6f7e2-82ad-466b-8605-c424c23cbea8</errorID>
      <errorWord>服务质态</errorWord>
      <group>L1_Knowledge</group>
      <groupName>知识性问题</groupName>
      <ability>L2_Knowledge</ability>
      <abilityName>其他知识</abilityName>
      <candidateList>
        <item>服务质效</item>
      </candidateList>
      <explain/>
      <paraID>4454A4E8</paraID>
      <start>2</start>
      <end>6</end>
      <status>ignored</status>
      <modifiedWord/>
      <trackRevisions>false</trackRevisions>
    </reviewItem>
    <reviewItem>
      <errorID>cc79c493-dfac-477b-bd9b-8a85befcdfa8</errorID>
      <errorWord>新一轮科技革命、产业变革</errorWord>
      <group>L1_Political</group>
      <groupName>政治性问题</groupName>
      <ability>L2_Keyword</ability>
      <abilityName>固定表述</abilityName>
      <candidateList>
        <item>新一轮科技革命和产业变革</item>
      </candidateList>
      <explain>词汇“新一轮科技革命和产业变革”在特定场景下为固定表述形式，请确认此处的“新一轮科技革命、产业变革”是否存在不当。</explain>
      <paraID>23D864C5</paraID>
      <start>51</start>
      <end>63</end>
      <status>ignored</status>
      <modifiedWord/>
      <trackRevisions>false</trackRevisions>
    </reviewItem>
    <reviewItem>
      <errorID>6ee8d5bf-6be4-48b0-b8b7-d45db9924cf0</errorID>
      <errorWord>战略机遇与风险挑战</errorWord>
      <group>L1_Word</group>
      <groupName>字词问题</groupName>
      <ability>L2_Typo</ability>
      <abilityName>字词错误</abilityName>
      <candidateList>
        <item>战略机遇和风险挑战</item>
      </candidateList>
      <explain/>
      <paraID>23D864C5</paraID>
      <start>79</start>
      <end>88</end>
      <status>ignored</status>
      <modifiedWord/>
      <trackRevisions>false</trackRevisions>
    </reviewItem>
    <reviewItem>
      <errorID>3012f214-59f5-46e2-b806-daee9dce8c12</errorID>
      <errorWord>新起点上</errorWord>
      <group>L1_Word</group>
      <groupName>字词问题</groupName>
      <ability>L2_Typo</ability>
      <abilityName>字词错误</abilityName>
      <candidateList>
        <item>新起点</item>
      </candidateList>
      <explain/>
      <paraID>2F690B4D</paraID>
      <start>138</start>
      <end>141</end>
      <status>modified</status>
      <modifiedWord>新起点</modifiedWord>
      <trackRevisions>false</trackRevisions>
    </reviewItem>
    <reviewItem>
      <errorID>4a48202a-7470-44d6-9a1c-357de952e7ee</errorID>
      <errorWord>2035远景目标</errorWord>
      <group>L1_Political</group>
      <groupName>政治性问题</groupName>
      <ability>L2_Keyword</ability>
      <abilityName>固定表述</abilityName>
      <candidateList>
        <item>2035年远景目标</item>
      </candidateList>
      <explain>词汇“2035年远景目标”在特定场景下为固定表述形式，请确认此处的“2035远景目标”是否存在不当。</explain>
      <paraID>2F690B4D</paraID>
      <start>261</start>
      <end>270</end>
      <status>modified</status>
      <modifiedWord>2035年远景目标</modifiedWord>
      <trackRevisions>false</trackRevisions>
    </reviewItem>
    <reviewItem>
      <errorID>2f5b7ca2-bf54-4cb5-9304-be95e7db800a</errorID>
      <errorWord>加大开放对外</errorWord>
      <group>L1_Grammar</group>
      <groupName>语法问题</groupName>
      <ability>L2_Grammar</ability>
      <abilityName>语法错误</abilityName>
      <candidateList>
        <item>对外开放</item>
      </candidateList>
      <explain/>
      <paraID> 76779F0</paraID>
      <start>211</start>
      <end>217</end>
      <status>ignored</status>
      <modifiedWord/>
      <trackRevisions>false</trackRevisions>
    </reviewItem>
    <reviewItem>
      <errorID>8784d4e9-ceec-4dfe-9a81-55ced2a6691a</errorID>
      <errorWord>才力度</errorWord>
      <group>L1_Grammar</group>
      <groupName>语法问题</groupName>
      <ability>L2_Grammar</ability>
      <abilityName>语法错误</abilityName>
      <candidateList>
        <item>才</item>
      </candidateList>
      <explain/>
      <paraID> 76779F0</paraID>
      <start>218</start>
      <end>221</end>
      <status>ignored</status>
      <modifiedWord/>
      <trackRevisions>false</trackRevisions>
    </reviewItem>
    <reviewItem>
      <errorID>bfd01bb2-1e34-4016-8b8e-d5216ce1a735</errorID>
      <errorWord>优势的特色产业集群</errorWord>
      <group>L1_Political</group>
      <groupName>政治性问题</groupName>
      <ability>L2_Keyword</ability>
      <abilityName>固定表述</abilityName>
      <candidateList>
        <item>优势特色产业集群</item>
      </candidateList>
      <explain>词汇“优势特色产业集群”在特定场景下为固定表述形式，请确认此处的“优势的特色产业集群”是否存在不当。</explain>
      <paraID>5C571B93</paraID>
      <start>344</start>
      <end>353</end>
      <status>ignored</status>
      <modifiedWord/>
      <trackRevisions>false</trackRevisions>
    </reviewItem>
    <reviewItem>
      <errorID>d39653f4-111f-4f05-997a-ee6ae28f477b</errorID>
      <errorWord>党的二十大及二十届历次全会精神</errorWord>
      <group>L1_Political</group>
      <groupName>政治性问题</groupName>
      <ability>L2_Unpolitical</ability>
      <abilityName>政治敏感错误</abilityName>
      <candidateList>
        <item>党的二十大和二十届历次全会精神</item>
      </candidateList>
      <explain/>
      <paraID>32F87E5D</paraID>
      <start>27</start>
      <end>42</end>
      <status>modified</status>
      <modifiedWord>党的二十大和二十届历次全会精神</modifiedWord>
      <trackRevisions>false</trackRevisions>
    </reviewItem>
    <reviewItem>
      <errorID>36386c50-5fdb-4027-874a-d3c1cf791ccd</errorID>
      <errorWord>拥护党的领导</errorWord>
      <group>L1_Word</group>
      <groupName>字词问题</groupName>
      <ability>L2_Typo</ability>
      <abilityName>字词错误</abilityName>
      <candidateList>
        <item>拥护中国共产党的领导</item>
      </candidateList>
      <explain/>
      <paraID>2DB621D3</paraID>
      <start>99</start>
      <end>105</end>
      <status>ignored</status>
      <modifiedWord/>
      <trackRevisions>false</trackRevisions>
    </reviewItem>
    <reviewItem>
      <errorID>e4a65d2b-6c47-46ec-ac12-dc0fce1755e9</errorID>
      <errorWord>，</errorWord>
      <group>L1_Grammar</group>
      <groupName>语法问题</groupName>
      <ability>L2_Grammar</ability>
      <abilityName>语法错误</abilityName>
      <candidateList>
        <item>的策略，</item>
      </candidateList>
      <explain/>
      <paraID>6407512D</paraID>
      <start>75</start>
      <end>79</end>
      <status>modified</status>
      <modifiedWord>的策略，</modifiedWord>
      <trackRevisions>false</trackRevisions>
    </reviewItem>
    <reviewItem>
      <errorID>c4f7ea9a-9f0b-4d78-b366-888cef756ef9</errorID>
      <errorWord>“急难愁盼”问题</errorWord>
      <group>L1_Political</group>
      <groupName>政治性问题</groupName>
      <ability>L2_Keyword</ability>
      <abilityName>固定表述</abilityName>
      <candidateList>
        <item>急难愁盼问题</item>
      </candidateList>
      <explain>注意检查当前固定表述标点是否使用规范。</explain>
      <paraID> 8BA60F8</paraID>
      <start>80</start>
      <end>86</end>
      <status>modified</status>
      <modifiedWord>急难愁盼问题</modifiedWord>
      <trackRevisions>false</trackRevisions>
    </reviewItem>
    <reviewItem>
      <errorID>77933373-3e90-482d-b1a0-bc5978481a86</errorID>
      <errorWord>产业链、创新链、人才链、资金链</errorWord>
      <group>L1_Political</group>
      <groupName>政治性问题</groupName>
      <ability>L2_Keyword</ability>
      <abilityName>固定表述</abilityName>
      <candidateList>
        <item>创新链、产业链、人才链、资金链</item>
      </candidateList>
      <explain>词汇“创新链、产业链、人才链、资金链”在特定场景下为固定表述形式，请确认此处的“产业链、创新链、人才链、资金链”是否存在不当。</explain>
      <paraID>4EF3E11F</paraID>
      <start>64</start>
      <end>79</end>
      <status>modified</status>
      <modifiedWord>创新链、产业链、人才链、资金链</modifiedWord>
      <trackRevisions>false</trackRevisions>
    </reviewItem>
    <reviewItem>
      <errorID>676cf0e8-2ce0-480a-9f15-5909876906f3</errorID>
      <errorWord>“急难愁盼”问题</errorWord>
      <group>L1_Political</group>
      <groupName>政治性问题</groupName>
      <ability>L2_Keyword</ability>
      <abilityName>固定表述</abilityName>
      <candidateList>
        <item>急难愁盼问题</item>
      </candidateList>
      <explain>注意检查当前固定表述标点是否使用规范。</explain>
      <paraID> 46464A2</paraID>
      <start>106</start>
      <end>112</end>
      <status>modified</status>
      <modifiedWord>急难愁盼问题</modifiedWord>
      <trackRevisions>false</trackRevisions>
    </reviewItem>
    <reviewItem>
      <errorID>72bc4920-5d95-4418-8578-dcbf66f97415</errorID>
      <errorWord>逐</errorWord>
      <group>L1_Word</group>
      <groupName>字词问题</groupName>
      <ability>L2_Typo</ability>
      <abilityName>字词错误</abilityName>
      <candidateList>
        <item>逐个</item>
      </candidateList>
      <explain/>
      <paraID>7FA360A0</paraID>
      <start>92</start>
      <end>94</end>
      <status>modified</status>
      <modifiedWord>逐个</modifiedWord>
      <trackRevisions>false</trackRevisions>
    </reviewItem>
    <reviewItem>
      <errorID>89de0c6c-79d1-4513-9ac2-bada86b63ef3</errorID>
      <errorWord> </errorWord>
      <group>L1_Punc</group>
      <groupName>标点问题</groupName>
      <ability>L2_Punc_CN</ability>
      <abilityName>标点符号问题</abilityName>
      <candidateList>
        <item>·</item>
      </candidateList>
      <explain/>
      <paraID>1A56B27A</paraID>
      <start>264</start>
      <end>265</end>
      <status>ignored</status>
      <modifiedWord/>
      <trackRevisions>false</trackRevisions>
    </reviewItem>
    <reviewItem>
      <errorID>c59f0b66-92f1-4bee-9f84-3a28cc9fe88b</errorID>
      <errorWord>农村订单定向医学生免费</errorWord>
      <group>L1_Political</group>
      <groupName>政治性问题</groupName>
      <ability>L2_Keyword</ability>
      <abilityName>固定表述</abilityName>
      <candidateList>
        <item>农村订单定向免费医学生</item>
      </candidateList>
      <explain>词汇“农村订单定向免费医学生”在特定场景下为固定表述形式，请确认此处的“农村订单定向医学生免费”是否存在不当。</explain>
      <paraID>3F3F20D9</paraID>
      <start>207</start>
      <end>218</end>
      <status>ignored</status>
      <modifiedWord/>
      <trackRevisions>false</trackRevisions>
    </reviewItem>
    <reviewItem>
      <errorID>b69ca50c-11d9-4155-bb23-359b708b0a0c</errorID>
      <errorWord>为</errorWord>
      <group>L1_Grammar</group>
      <groupName>语法问题</groupName>
      <ability>L2_Grammar</ability>
      <abilityName>语法错误</abilityName>
      <candidateList>
        <item>，将其纳入</item>
      </candidateList>
      <explain/>
      <paraID>3DF52C24</paraID>
      <start>49</start>
      <end>50</end>
      <status>ignored</status>
      <modifiedWord/>
      <trackRevisions>false</trackRevisions>
    </reviewItem>
    <reviewItem>
      <errorID>1e349627-8817-4ff7-9f3c-d58882968787</errorID>
      <errorWord>。</errorWord>
      <group>L1_Grammar</group>
      <groupName>语法问题</groupName>
      <ability>L2_Grammar</ability>
      <abilityName>语法错误</abilityName>
      <candidateList>
        <item>队伍。</item>
      </candidateList>
      <explain/>
      <paraID>3DF52C24</paraID>
      <start>60</start>
      <end>61</end>
      <status>ignored</status>
      <modifiedWord/>
      <trackRevisions>false</trackRevisions>
    </reviewItem>
    <reviewItem>
      <errorID>75cda0a9-7715-451a-8cbe-845609a7cabb</errorID>
      <errorWord>的</errorWord>
      <group>L1_Grammar</group>
      <groupName>语法问题</groupName>
      <ability>L2_Grammar</ability>
      <abilityName>语法错误</abilityName>
      <candidateList>
        <item>方面的</item>
      </candidateList>
      <explain/>
      <paraID>5EAB95C1</paraID>
      <start>132</start>
      <end>133</end>
      <status>ignored</status>
      <modifiedWord/>
      <trackRevisions>false</trackRevisions>
    </reviewItem>
    <reviewItem>
      <errorID>938c99d4-b92d-4db8-b597-850d6702845d</errorID>
      <errorWord>长三角人才驿站</errorWord>
      <group>L1_Punc</group>
      <groupName>标点问题</groupName>
      <ability>L2_Punc_CN</ability>
      <abilityName>标点符号问题</abilityName>
      <candidateList>
        <item>（长三角人才驿站）</item>
      </candidateList>
      <explain/>
      <paraID>43D772F0</paraID>
      <start>27</start>
      <end>34</end>
      <status>ignored</status>
      <modifiedWord/>
      <trackRevisions>false</trackRevisions>
    </reviewItem>
    <reviewItem>
      <errorID>4ce7a7c9-bc22-4753-b57b-cd0722af28bc</errorID>
      <errorWord>长三角人才一体化发展人才合伙人</errorWord>
      <group>L1_Political</group>
      <groupName>政治性问题</groupName>
      <ability>L2_Keyword</ability>
      <abilityName>固定表述</abilityName>
      <candidateList>
        <item>（长三角人才一体化发展人才合伙人）的</item>
      </candidateList>
      <explain>此处内容疑似含有固定表述相关错误，建议核查。</explain>
      <paraID>43D772F0</paraID>
      <start>43</start>
      <end>58</end>
      <status>ignored</status>
      <modifiedWord/>
      <trackRevisions>false</trackRevisions>
    </reviewItem>
    <reviewItem>
      <errorID>0105d197-f456-4b55-93f6-3b6d36f8d26e</errorID>
      <errorWord>全面</errorWord>
      <group>L1_Grammar</group>
      <groupName>语法问题</groupName>
      <ability>L2_Grammar</ability>
      <abilityName>语法错误</abilityName>
      <candidateList>
        <item>为抓手全面</item>
      </candidateList>
      <explain/>
      <paraID>3A6390D1</paraID>
      <start>136</start>
      <end>141</end>
      <status>modified</status>
      <modifiedWord>为抓手全面</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c748d5-1e26-4b5e-beb2-acc1098b8e11}">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11136</Words>
  <Characters>11285</Characters>
  <Lines>0</Lines>
  <Paragraphs>0</Paragraphs>
  <TotalTime>10</TotalTime>
  <ScaleCrop>false</ScaleCrop>
  <LinksUpToDate>false</LinksUpToDate>
  <CharactersWithSpaces>11286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2025-11-06T10:40:00Z</dcterms:created>
  <dc:creator>Administrator</dc:creator>
  <cp:lastModifiedBy>Cjh</cp:lastModifiedBy>
  <cp:lastPrinted>2026-10-15T04:02:00Z</cp:lastPrinted>
  <dcterms:modified xsi:type="dcterms:W3CDTF">2026-10-15T06:47:42Z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eyJoZGlkIjoiNTVmYTlmNjc3ODYyNjU3MTI4NzIyZTNkNDBlYjc2OWEiLCJ1c2VySWQiOiIxMjU1MzgwMTkyIn0=</vt:lpwstr>
  </property>
  <property fmtid="{D5CDD505-2E9C-101B-9397-08002B2CF9AE}" pid="4" name="ICV">
    <vt:lpwstr>9E9533DC39604EDB94A3D5F606AA4976_13</vt:lpwstr>
  </property>
</Properties>
</file>